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仿宋"/>
          <w:sz w:val="32"/>
          <w:szCs w:val="32"/>
        </w:rPr>
      </w:pPr>
      <w:r>
        <w:rPr>
          <w:rFonts w:hint="eastAsia" w:ascii="华文中宋" w:hAnsi="华文中宋" w:eastAsia="华文中宋" w:cs="仿宋"/>
          <w:sz w:val="32"/>
          <w:szCs w:val="32"/>
        </w:rPr>
        <w:t>采购指标要求</w:t>
      </w:r>
    </w:p>
    <w:p>
      <w:pPr>
        <w:jc w:val="center"/>
        <w:rPr>
          <w:rFonts w:hint="eastAsia" w:ascii="华文中宋" w:hAnsi="华文中宋" w:eastAsia="华文中宋" w:cs="仿宋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数量参数</w:t>
      </w:r>
    </w:p>
    <w:tbl>
      <w:tblPr>
        <w:tblStyle w:val="2"/>
        <w:tblW w:w="76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410"/>
        <w:gridCol w:w="1134"/>
        <w:gridCol w:w="1140"/>
        <w:gridCol w:w="84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序号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内容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数量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单位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单价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11月风机盘管清洗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389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台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11月普通空调清洗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369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台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3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11月回风出风口清洗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1825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台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4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1月回风出风口清洗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2583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台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5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合计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清洗要求</w:t>
      </w:r>
    </w:p>
    <w:p>
      <w:pPr>
        <w:jc w:val="center"/>
        <w:rPr>
          <w:rFonts w:hint="eastAsia" w:ascii="华文中宋" w:hAnsi="华文中宋" w:eastAsia="华文中宋" w:cs="仿宋"/>
          <w:sz w:val="32"/>
          <w:szCs w:val="32"/>
        </w:rPr>
      </w:pP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供应商参照WS394-2012《公共场所集中空调通风系统卫生规范》、WS396-2012《公共场所集中空调通风清洗消毒规范》、GB 50365-2019《空调通风系统运行管理标准》规范执行空调清洗，具体事项如下：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1、对空调风机盘管的翅片、冷凝排水槽、风机叶轮表面、蜗壳内部和过滤器进行清洗，同时需要对风机盘管的出风口、回风口及滤网进行消毒清洁工作；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2、对部分分体式（普通）空调进行深度清洗；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3、分别在11月前、次年1月完成空调的回风口、出风口消毒清洁工作；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4、补齐风口红飘带标识等；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A5D61"/>
    <w:rsid w:val="210A5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2023-11-17T08:09:00Z</dcterms:created>
  <dc:creator>Administrator</dc:creator>
  <cp:lastModifiedBy>Administrator</cp:lastModifiedBy>
  <dcterms:modified xsi:type="dcterms:W3CDTF">2023-11-17T08:10:12Z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