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ind w:firstLine="640" w:firstLineChars="200"/>
        <w:jc w:val="left"/>
        <w:outlineLvl w:val="2"/>
        <w:rPr>
          <w:rFonts w:hint="eastAsia" w:ascii="仿宋" w:hAnsi="仿宋" w:eastAsia="仿宋" w:cs="仿宋"/>
          <w:sz w:val="32"/>
          <w:szCs w:val="32"/>
        </w:rPr>
      </w:pPr>
      <w:r>
        <w:rPr>
          <w:rFonts w:hint="eastAsia" w:ascii="仿宋" w:hAnsi="仿宋" w:eastAsia="仿宋" w:cs="仿宋"/>
          <w:sz w:val="32"/>
          <w:szCs w:val="32"/>
        </w:rPr>
        <w:t>资格和符合性审查内容及标准</w:t>
      </w:r>
    </w:p>
    <w:tbl>
      <w:tblPr>
        <w:tblStyle w:val="4"/>
        <w:tblW w:w="95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24"/>
        <w:gridCol w:w="1945"/>
        <w:gridCol w:w="6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16" w:hRule="atLeast"/>
          <w:jc w:val="center"/>
        </w:trPr>
        <w:tc>
          <w:tcPr>
            <w:tcW w:w="2869" w:type="dxa"/>
            <w:gridSpan w:val="2"/>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bCs/>
                <w:szCs w:val="21"/>
              </w:rPr>
              <w:t>审查内容</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bCs/>
                <w:szCs w:val="21"/>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9" w:hRule="atLeast"/>
          <w:jc w:val="center"/>
        </w:trPr>
        <w:tc>
          <w:tcPr>
            <w:tcW w:w="924" w:type="dxa"/>
            <w:vMerge w:val="restart"/>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bCs/>
                <w:szCs w:val="21"/>
              </w:rPr>
              <w:t>资格性审查</w:t>
            </w:r>
          </w:p>
        </w:tc>
        <w:tc>
          <w:tcPr>
            <w:tcW w:w="1945" w:type="dxa"/>
            <w:vMerge w:val="restart"/>
            <w:vAlign w:val="center"/>
          </w:tcPr>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kern w:val="0"/>
                <w:szCs w:val="21"/>
              </w:rPr>
            </w:pPr>
          </w:p>
          <w:p>
            <w:pPr>
              <w:spacing w:line="400" w:lineRule="exact"/>
              <w:ind w:firstLine="420" w:firstLineChars="200"/>
              <w:jc w:val="left"/>
              <w:rPr>
                <w:rFonts w:hint="eastAsia" w:ascii="仿宋" w:hAnsi="仿宋" w:eastAsia="仿宋" w:cs="仿宋"/>
                <w:szCs w:val="21"/>
              </w:rPr>
            </w:pPr>
            <w:r>
              <w:rPr>
                <w:rFonts w:hint="eastAsia" w:ascii="仿宋" w:hAnsi="仿宋" w:eastAsia="仿宋" w:cs="仿宋"/>
                <w:kern w:val="0"/>
                <w:szCs w:val="21"/>
              </w:rPr>
              <w:t>资格要求</w:t>
            </w:r>
          </w:p>
        </w:tc>
        <w:tc>
          <w:tcPr>
            <w:tcW w:w="6699" w:type="dxa"/>
            <w:vAlign w:val="center"/>
          </w:tcPr>
          <w:p>
            <w:pPr>
              <w:pStyle w:val="8"/>
              <w:spacing w:line="400" w:lineRule="exact"/>
              <w:ind w:firstLine="422" w:firstLineChars="200"/>
              <w:jc w:val="left"/>
              <w:rPr>
                <w:rFonts w:hint="eastAsia" w:ascii="仿宋" w:hAnsi="仿宋" w:eastAsia="仿宋" w:cs="仿宋"/>
                <w:szCs w:val="21"/>
              </w:rPr>
            </w:pPr>
            <w:r>
              <w:rPr>
                <w:rFonts w:hint="eastAsia" w:ascii="仿宋" w:hAnsi="仿宋" w:eastAsia="仿宋" w:cs="仿宋"/>
                <w:b/>
                <w:bCs/>
                <w:szCs w:val="21"/>
              </w:rPr>
              <w:t>具有独立承担民事责任的能力</w:t>
            </w:r>
            <w:r>
              <w:rPr>
                <w:rFonts w:hint="eastAsia" w:ascii="仿宋" w:hAnsi="仿宋" w:eastAsia="仿宋" w:cs="仿宋"/>
                <w:szCs w:val="21"/>
              </w:rPr>
              <w:t>：</w:t>
            </w:r>
          </w:p>
          <w:p>
            <w:pPr>
              <w:spacing w:line="400" w:lineRule="exact"/>
              <w:ind w:firstLine="420" w:firstLineChars="200"/>
              <w:jc w:val="left"/>
              <w:rPr>
                <w:rFonts w:hint="eastAsia" w:ascii="仿宋" w:hAnsi="仿宋" w:eastAsia="仿宋" w:cs="仿宋"/>
                <w:szCs w:val="21"/>
              </w:rPr>
            </w:pPr>
            <w:r>
              <w:rPr>
                <w:rFonts w:hint="eastAsia" w:ascii="仿宋" w:hAnsi="仿宋" w:eastAsia="仿宋" w:cs="仿宋"/>
                <w:bCs/>
                <w:szCs w:val="21"/>
              </w:rPr>
              <w:t>（提供有效的营业执照复印件加盖代理机构行政公章）；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9"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bCs/>
                <w:szCs w:val="21"/>
              </w:rPr>
            </w:pPr>
          </w:p>
        </w:tc>
        <w:tc>
          <w:tcPr>
            <w:tcW w:w="1945" w:type="dxa"/>
            <w:vMerge w:val="continue"/>
            <w:vAlign w:val="center"/>
          </w:tcPr>
          <w:p>
            <w:pPr>
              <w:spacing w:line="400" w:lineRule="exact"/>
              <w:ind w:firstLine="420" w:firstLineChars="200"/>
              <w:jc w:val="left"/>
              <w:rPr>
                <w:rFonts w:hint="eastAsia" w:ascii="仿宋" w:hAnsi="仿宋" w:eastAsia="仿宋" w:cs="仿宋"/>
                <w:kern w:val="0"/>
                <w:szCs w:val="21"/>
              </w:rPr>
            </w:pPr>
          </w:p>
        </w:tc>
        <w:tc>
          <w:tcPr>
            <w:tcW w:w="6699" w:type="dxa"/>
          </w:tcPr>
          <w:p>
            <w:pPr>
              <w:pStyle w:val="8"/>
              <w:spacing w:line="400" w:lineRule="exact"/>
              <w:ind w:firstLine="422" w:firstLineChars="200"/>
              <w:jc w:val="left"/>
              <w:rPr>
                <w:rFonts w:hint="eastAsia" w:ascii="仿宋" w:hAnsi="仿宋" w:eastAsia="仿宋" w:cs="仿宋"/>
                <w:szCs w:val="21"/>
              </w:rPr>
            </w:pPr>
            <w:r>
              <w:rPr>
                <w:rFonts w:hint="eastAsia" w:ascii="仿宋" w:hAnsi="仿宋" w:eastAsia="仿宋" w:cs="仿宋"/>
                <w:b/>
                <w:bCs/>
                <w:szCs w:val="21"/>
              </w:rPr>
              <w:t>具有良好的商业信誉和健全的财务会计制度：</w:t>
            </w:r>
          </w:p>
          <w:p>
            <w:pPr>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szCs w:val="21"/>
              </w:rPr>
              <w:t>（在响应文件中提供2023或2024年度财务状况报告原件的复印件加盖代理机构行政公章）（可提供承若）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9"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bCs/>
                <w:szCs w:val="21"/>
              </w:rPr>
            </w:pPr>
          </w:p>
        </w:tc>
        <w:tc>
          <w:tcPr>
            <w:tcW w:w="1945" w:type="dxa"/>
            <w:vMerge w:val="continue"/>
            <w:vAlign w:val="center"/>
          </w:tcPr>
          <w:p>
            <w:pPr>
              <w:spacing w:line="400" w:lineRule="exact"/>
              <w:ind w:firstLine="420" w:firstLineChars="200"/>
              <w:jc w:val="left"/>
              <w:rPr>
                <w:rFonts w:hint="eastAsia" w:ascii="仿宋" w:hAnsi="仿宋" w:eastAsia="仿宋" w:cs="仿宋"/>
                <w:kern w:val="0"/>
                <w:szCs w:val="21"/>
              </w:rPr>
            </w:pPr>
          </w:p>
        </w:tc>
        <w:tc>
          <w:tcPr>
            <w:tcW w:w="6699" w:type="dxa"/>
            <w:vAlign w:val="center"/>
          </w:tcPr>
          <w:p>
            <w:pPr>
              <w:spacing w:line="400" w:lineRule="exact"/>
              <w:ind w:firstLine="422" w:firstLineChars="200"/>
              <w:jc w:val="left"/>
              <w:rPr>
                <w:rFonts w:hint="eastAsia" w:ascii="仿宋" w:hAnsi="仿宋" w:eastAsia="仿宋" w:cs="仿宋"/>
                <w:b/>
                <w:bCs/>
                <w:szCs w:val="21"/>
              </w:rPr>
            </w:pPr>
            <w:r>
              <w:rPr>
                <w:rFonts w:hint="eastAsia" w:ascii="仿宋" w:hAnsi="仿宋" w:eastAsia="仿宋" w:cs="仿宋"/>
                <w:b/>
                <w:bCs/>
                <w:szCs w:val="21"/>
              </w:rPr>
              <w:t>具有履行合同所必需的设备和专业技术能力：</w:t>
            </w:r>
          </w:p>
          <w:p>
            <w:pPr>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szCs w:val="21"/>
              </w:rPr>
              <w:t>提供具备履行合同所必需的设备和专业技术能力的相关证明材料。加盖代理机构行政公章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9"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bCs/>
                <w:szCs w:val="21"/>
              </w:rPr>
            </w:pPr>
          </w:p>
        </w:tc>
        <w:tc>
          <w:tcPr>
            <w:tcW w:w="1945" w:type="dxa"/>
            <w:vMerge w:val="continue"/>
            <w:vAlign w:val="center"/>
          </w:tcPr>
          <w:p>
            <w:pPr>
              <w:spacing w:line="400" w:lineRule="exact"/>
              <w:ind w:firstLine="420" w:firstLineChars="200"/>
              <w:jc w:val="left"/>
              <w:rPr>
                <w:rFonts w:hint="eastAsia" w:ascii="仿宋" w:hAnsi="仿宋" w:eastAsia="仿宋" w:cs="仿宋"/>
                <w:kern w:val="0"/>
                <w:szCs w:val="21"/>
              </w:rPr>
            </w:pPr>
          </w:p>
        </w:tc>
        <w:tc>
          <w:tcPr>
            <w:tcW w:w="6699" w:type="dxa"/>
            <w:vAlign w:val="center"/>
          </w:tcPr>
          <w:p>
            <w:pPr>
              <w:pStyle w:val="8"/>
              <w:spacing w:line="400" w:lineRule="exact"/>
              <w:ind w:firstLine="422" w:firstLineChars="200"/>
              <w:jc w:val="left"/>
              <w:rPr>
                <w:rFonts w:hint="eastAsia" w:ascii="仿宋" w:hAnsi="仿宋" w:eastAsia="仿宋" w:cs="仿宋"/>
                <w:b/>
                <w:bCs/>
                <w:szCs w:val="21"/>
              </w:rPr>
            </w:pPr>
            <w:r>
              <w:rPr>
                <w:rFonts w:hint="eastAsia" w:ascii="仿宋" w:hAnsi="仿宋" w:eastAsia="仿宋" w:cs="仿宋"/>
                <w:b/>
                <w:bCs/>
                <w:szCs w:val="21"/>
              </w:rPr>
              <w:t>有依法缴纳税收和社会保障金的良好记录：</w:t>
            </w:r>
          </w:p>
          <w:p>
            <w:pPr>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szCs w:val="21"/>
              </w:rPr>
              <w:t>（在响应文件中提供近三个月内的纳税凭证和社会保障缴纳证明材料原件的复印件加盖代理机构行政公章）（可提供承若）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32"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bCs/>
                <w:szCs w:val="21"/>
              </w:rPr>
            </w:pPr>
          </w:p>
        </w:tc>
        <w:tc>
          <w:tcPr>
            <w:tcW w:w="1945" w:type="dxa"/>
            <w:vMerge w:val="continue"/>
            <w:vAlign w:val="center"/>
          </w:tcPr>
          <w:p>
            <w:pPr>
              <w:spacing w:line="400" w:lineRule="exact"/>
              <w:ind w:firstLine="420" w:firstLineChars="200"/>
              <w:jc w:val="left"/>
              <w:rPr>
                <w:rFonts w:hint="eastAsia" w:ascii="仿宋" w:hAnsi="仿宋" w:eastAsia="仿宋" w:cs="仿宋"/>
                <w:kern w:val="0"/>
                <w:szCs w:val="21"/>
              </w:rPr>
            </w:pPr>
          </w:p>
        </w:tc>
        <w:tc>
          <w:tcPr>
            <w:tcW w:w="6699" w:type="dxa"/>
            <w:vAlign w:val="center"/>
          </w:tcPr>
          <w:p>
            <w:pPr>
              <w:spacing w:line="400" w:lineRule="exact"/>
              <w:ind w:firstLine="422" w:firstLineChars="200"/>
              <w:jc w:val="left"/>
              <w:rPr>
                <w:rFonts w:hint="eastAsia" w:ascii="仿宋" w:hAnsi="仿宋" w:eastAsia="仿宋" w:cs="仿宋"/>
                <w:kern w:val="0"/>
                <w:szCs w:val="21"/>
              </w:rPr>
            </w:pPr>
            <w:r>
              <w:rPr>
                <w:rFonts w:hint="eastAsia" w:ascii="仿宋" w:hAnsi="仿宋" w:eastAsia="仿宋" w:cs="仿宋"/>
                <w:b/>
                <w:bCs/>
                <w:szCs w:val="21"/>
              </w:rPr>
              <w:t>参加招标活动前三年内，在经营活动中没有重大违法记录：</w:t>
            </w:r>
            <w:r>
              <w:rPr>
                <w:rFonts w:hint="eastAsia" w:ascii="仿宋" w:hAnsi="仿宋" w:eastAsia="仿宋" w:cs="仿宋"/>
                <w:szCs w:val="21"/>
              </w:rPr>
              <w:t>在响应文件中提供近三年内，在经营活动中没有重大违法记录的承诺函原件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67"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主体信用记录</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通过“信用中国”网站（www.creditchina.gov.cn）、中国政府采购网（www.ccgp.gov.cn）等渠道查询主体信用记录，未被列入信用记录失信被执行人、重大税收违法案件当事人名单、政府采购严重违法失信行为记录名单。（提供磋商公告时间内的网页截图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9"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代理机构身份</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单位负责人为同一人或者存在直接控股、管理关系的不同代理机构，不得参加同一合同项下的政府采购活动。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5"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联合体投标</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4" w:hRule="atLeast"/>
          <w:jc w:val="center"/>
        </w:trPr>
        <w:tc>
          <w:tcPr>
            <w:tcW w:w="924" w:type="dxa"/>
            <w:vMerge w:val="restart"/>
            <w:vAlign w:val="center"/>
          </w:tcPr>
          <w:p>
            <w:pPr>
              <w:spacing w:line="400" w:lineRule="exact"/>
              <w:ind w:firstLine="420" w:firstLineChars="200"/>
              <w:jc w:val="left"/>
              <w:rPr>
                <w:rFonts w:hint="eastAsia" w:ascii="仿宋" w:hAnsi="仿宋" w:eastAsia="仿宋" w:cs="仿宋"/>
                <w:bCs/>
                <w:szCs w:val="21"/>
              </w:rPr>
            </w:pPr>
            <w:r>
              <w:rPr>
                <w:rFonts w:hint="eastAsia" w:ascii="仿宋" w:hAnsi="仿宋" w:eastAsia="仿宋" w:cs="仿宋"/>
                <w:bCs/>
                <w:szCs w:val="21"/>
              </w:rPr>
              <w:t>符合</w:t>
            </w:r>
          </w:p>
          <w:p>
            <w:pPr>
              <w:spacing w:line="400" w:lineRule="exact"/>
              <w:ind w:firstLine="420" w:firstLineChars="200"/>
              <w:jc w:val="left"/>
              <w:rPr>
                <w:rFonts w:hint="eastAsia" w:ascii="仿宋" w:hAnsi="仿宋" w:eastAsia="仿宋" w:cs="仿宋"/>
                <w:szCs w:val="21"/>
              </w:rPr>
            </w:pPr>
            <w:r>
              <w:rPr>
                <w:rFonts w:hint="eastAsia" w:ascii="仿宋" w:hAnsi="仿宋" w:eastAsia="仿宋" w:cs="仿宋"/>
                <w:bCs/>
                <w:szCs w:val="21"/>
              </w:rPr>
              <w:t>性审查</w:t>
            </w: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代理机构名称</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与营业执照或事业单位法人证书等其他证件一致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5"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响应文件签署</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符合招标文件要求在规定区域加盖单位公章和法定代表人印章或签字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4"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法人和授权代表资格</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具有法定代表人资格证明或法定代表人授权委托书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4"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投标报价</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投标报价唯一；投标报价未超过预算金额或者最高限价；投标报价合理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0"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采购需求响应</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kern w:val="0"/>
                <w:szCs w:val="21"/>
              </w:rPr>
              <w:t>实质性响应文件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3" w:hRule="atLeast"/>
          <w:jc w:val="center"/>
        </w:trPr>
        <w:tc>
          <w:tcPr>
            <w:tcW w:w="924" w:type="dxa"/>
            <w:vMerge w:val="continue"/>
            <w:vAlign w:val="center"/>
          </w:tcPr>
          <w:p>
            <w:pPr>
              <w:spacing w:line="400" w:lineRule="exact"/>
              <w:ind w:firstLine="420" w:firstLineChars="200"/>
              <w:jc w:val="left"/>
              <w:rPr>
                <w:rFonts w:hint="eastAsia" w:ascii="仿宋" w:hAnsi="仿宋" w:eastAsia="仿宋" w:cs="仿宋"/>
                <w:szCs w:val="21"/>
              </w:rPr>
            </w:pPr>
          </w:p>
        </w:tc>
        <w:tc>
          <w:tcPr>
            <w:tcW w:w="194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投标有效期</w:t>
            </w:r>
          </w:p>
        </w:tc>
        <w:tc>
          <w:tcPr>
            <w:tcW w:w="6699"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符合本磋商文件相关规定</w:t>
            </w:r>
          </w:p>
        </w:tc>
      </w:tr>
    </w:tbl>
    <w:p>
      <w:pPr>
        <w:spacing w:line="500" w:lineRule="exact"/>
        <w:jc w:val="left"/>
        <w:rPr>
          <w:rFonts w:hint="eastAsia" w:ascii="仿宋" w:hAnsi="仿宋" w:eastAsia="仿宋" w:cs="仿宋"/>
          <w:b/>
          <w:sz w:val="32"/>
          <w:szCs w:val="32"/>
        </w:rPr>
      </w:pPr>
      <w:bookmarkStart w:id="2" w:name="_GoBack"/>
      <w:bookmarkEnd w:id="2"/>
      <w:r>
        <w:rPr>
          <w:rFonts w:hint="eastAsia" w:ascii="仿宋" w:hAnsi="仿宋" w:eastAsia="仿宋" w:cs="仿宋"/>
          <w:b/>
          <w:sz w:val="32"/>
          <w:szCs w:val="32"/>
        </w:rPr>
        <w:t>以上审查内容必须全部符合审查标准，否则视为无效投标。</w:t>
      </w:r>
    </w:p>
    <w:p>
      <w:pPr>
        <w:spacing w:line="480" w:lineRule="exact"/>
        <w:ind w:firstLine="640" w:firstLineChars="200"/>
        <w:jc w:val="left"/>
        <w:rPr>
          <w:rFonts w:hint="eastAsia" w:ascii="仿宋" w:hAnsi="仿宋" w:eastAsia="仿宋" w:cs="仿宋"/>
          <w:sz w:val="32"/>
          <w:szCs w:val="32"/>
        </w:rPr>
      </w:pPr>
      <w:bookmarkStart w:id="0" w:name="_Toc18543_WPSOffice_Level3"/>
    </w:p>
    <w:p>
      <w:pPr>
        <w:spacing w:line="480" w:lineRule="exact"/>
        <w:ind w:firstLine="640" w:firstLineChars="200"/>
        <w:jc w:val="left"/>
        <w:outlineLvl w:val="2"/>
        <w:rPr>
          <w:rFonts w:hint="eastAsia" w:ascii="仿宋" w:hAnsi="仿宋" w:eastAsia="仿宋" w:cs="仿宋"/>
          <w:sz w:val="32"/>
          <w:szCs w:val="32"/>
        </w:rPr>
      </w:pPr>
      <w:bookmarkStart w:id="1" w:name="_Hlk156551537"/>
    </w:p>
    <w:p>
      <w:pPr>
        <w:spacing w:line="480" w:lineRule="exact"/>
        <w:ind w:firstLine="640" w:firstLineChars="200"/>
        <w:jc w:val="left"/>
        <w:outlineLvl w:val="2"/>
        <w:rPr>
          <w:rFonts w:hint="eastAsia" w:ascii="仿宋" w:hAnsi="仿宋" w:eastAsia="仿宋" w:cs="仿宋"/>
          <w:sz w:val="32"/>
          <w:szCs w:val="32"/>
        </w:rPr>
      </w:pPr>
    </w:p>
    <w:p>
      <w:pPr>
        <w:spacing w:line="480" w:lineRule="exact"/>
        <w:ind w:firstLine="640" w:firstLineChars="200"/>
        <w:jc w:val="left"/>
        <w:outlineLvl w:val="2"/>
        <w:rPr>
          <w:rFonts w:hint="eastAsia" w:ascii="仿宋" w:hAnsi="仿宋" w:eastAsia="仿宋" w:cs="仿宋"/>
          <w:sz w:val="32"/>
          <w:szCs w:val="32"/>
        </w:rPr>
      </w:pPr>
      <w:r>
        <w:rPr>
          <w:rFonts w:hint="eastAsia" w:ascii="仿宋" w:hAnsi="仿宋" w:eastAsia="仿宋" w:cs="仿宋"/>
          <w:sz w:val="32"/>
          <w:szCs w:val="32"/>
        </w:rPr>
        <w:t>商务、技术、价格评审内容及标准</w:t>
      </w:r>
      <w:bookmarkEnd w:id="0"/>
    </w:p>
    <w:tbl>
      <w:tblPr>
        <w:tblStyle w:val="4"/>
        <w:tblW w:w="100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05"/>
        <w:gridCol w:w="1133"/>
        <w:gridCol w:w="768"/>
        <w:gridCol w:w="7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6" w:hRule="atLeast"/>
          <w:jc w:val="center"/>
        </w:trPr>
        <w:tc>
          <w:tcPr>
            <w:tcW w:w="80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序号</w:t>
            </w: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评议内容</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分值</w:t>
            </w:r>
          </w:p>
        </w:tc>
        <w:tc>
          <w:tcPr>
            <w:tcW w:w="7385"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检查标准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54" w:hRule="atLeast"/>
          <w:jc w:val="center"/>
        </w:trPr>
        <w:tc>
          <w:tcPr>
            <w:tcW w:w="805" w:type="dxa"/>
            <w:vAlign w:val="center"/>
          </w:tcPr>
          <w:p>
            <w:pPr>
              <w:spacing w:line="400" w:lineRule="exact"/>
              <w:ind w:firstLine="420" w:firstLineChars="200"/>
              <w:jc w:val="left"/>
              <w:rPr>
                <w:rFonts w:hint="eastAsia" w:ascii="仿宋" w:hAnsi="仿宋" w:eastAsia="仿宋" w:cs="仿宋"/>
                <w:szCs w:val="21"/>
              </w:rPr>
            </w:pPr>
          </w:p>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价格评议  （10分）</w:t>
            </w: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价格分</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10</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各招标代理机构在下浮率0%至10%区间范围内填报下浮率。以“通过资格及符合性审查”且下浮率最大的为评标基准下浮率。报价得分=（投标下浮率/评标基准下浮率）*10，得分精确到小数点后两位。收费标准：按照“国家发展计划委员会计价格【2002】1980号文”及“发改价格【2011】534号文”的收费标准乘以招标代理机构的报价收费率，由后期招标项目的中标人支付费用给招标代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00" w:hRule="atLeast"/>
          <w:jc w:val="center"/>
        </w:trPr>
        <w:tc>
          <w:tcPr>
            <w:tcW w:w="805" w:type="dxa"/>
            <w:vMerge w:val="restart"/>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商务评议  （58分）</w:t>
            </w: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业绩</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20</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color w:val="0000FF"/>
                <w:szCs w:val="21"/>
              </w:rPr>
              <w:t>代理机构2020年以来,具有预算金额300万元及以上类似工程项目招标代理业绩的，每个业绩得4分，最高20分。（提供代理协议合同复印件或成交通知书复印件，同一项目不重复得分）。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3"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企业情况</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9</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通过ISO9001质量管理体系认证、环境管理体系认证ISO4001、职业健康与安全管理体系认证ISO5001，每个得3分，最多得9分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00"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档案管理</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6</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代理机构有档案管理制度按医院要求进行档案管理的得2分（提供档案管理制度及档案存储承诺书）；代理机构有档案存储地点的得2分（提供场所照片）；代理机构能提供招标采购资料电子化储存能力的得2分（提供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8"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服务能力</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5</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代理机构有开展招标代理场地、录音录像器材、电脑打印机设备。有能独立开展招标代理场地得5分、有录音录像器材得2分、有电脑打印机设备得1分，没有不得分（提供相应证明材料）。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8"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ascii="仿宋" w:hAnsi="仿宋" w:eastAsia="仿宋" w:cs="仿宋"/>
                <w:szCs w:val="21"/>
              </w:rPr>
            </w:pPr>
            <w:r>
              <w:rPr>
                <w:rFonts w:hint="eastAsia" w:ascii="仿宋" w:hAnsi="仿宋" w:eastAsia="仿宋" w:cs="仿宋"/>
                <w:szCs w:val="21"/>
              </w:rPr>
              <w:t>企业荣誉</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5</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color w:val="0000FF"/>
                <w:szCs w:val="21"/>
              </w:rPr>
              <w:t>2022年1月1日以来，代理机构获得政府部门或行业协会或权威媒体颁发的招标代理相关荣誉的，每提供1项得2.5分，最多得5分。（提供相关证明材料复印件）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9"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项目组成员</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13</w:t>
            </w:r>
          </w:p>
        </w:tc>
        <w:tc>
          <w:tcPr>
            <w:tcW w:w="7385" w:type="dxa"/>
            <w:vAlign w:val="center"/>
          </w:tcPr>
          <w:p>
            <w:pPr>
              <w:pStyle w:val="3"/>
              <w:ind w:firstLine="420" w:firstLineChars="200"/>
              <w:jc w:val="left"/>
              <w:rPr>
                <w:rFonts w:hint="eastAsia" w:ascii="仿宋" w:hAnsi="仿宋" w:eastAsia="仿宋" w:cs="仿宋"/>
                <w:sz w:val="21"/>
                <w:szCs w:val="21"/>
              </w:rPr>
            </w:pPr>
            <w:r>
              <w:rPr>
                <w:rFonts w:hint="eastAsia" w:ascii="仿宋" w:hAnsi="仿宋" w:eastAsia="仿宋" w:cs="仿宋"/>
                <w:sz w:val="21"/>
                <w:szCs w:val="21"/>
              </w:rPr>
              <w:t>工作经验3年及以上专职从业人员数量（缴纳社保人员）：2人-4人，得2分；5人-10人，得5分；11人及以上，得8分，具备政府采购业务相关的资质或证书的专职从业人员数量（缴纳社保人员）：1人-2人，得2分；3人-4人，得3分；5人及以上，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371" w:hRule="atLeast"/>
          <w:jc w:val="center"/>
        </w:trPr>
        <w:tc>
          <w:tcPr>
            <w:tcW w:w="805" w:type="dxa"/>
            <w:vMerge w:val="restart"/>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技术评议  （32分）</w:t>
            </w: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服务方案及承诺</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15</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 xml:space="preserve">代理机构提供《代理方案》，评委从①方案的完整、可行性高②有健全内部监督管理制度，实现采购活动不同环节之间权责明确、岗位分离③提供服务承诺、廉洁自律承诺、承诺接受采购人、财政部门考核、监管。④对项目资料（招标文件等）有内部审核流程进行打分：1.方案内容完善、计划合理、可行性高，得11-15分；2.方案内容及计划基本合理，有一定可行性，得6-10分；3.方案内容及计划有偏差，可行性较差，得1-5分；4.未提供或提供的方案与项目有重大偏差的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47"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服务满意度</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5</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代理机构提供完成项目的客户满意度调查表，评价为满意，每有一个得1分，最多得5分。（提供满意度调查表及对应的代理协议复印件）同一客户单位不重复得分。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8"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工作流程</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8</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代理机构提供招标采购工作流程，流程可行性强，严谨且具体详实得8分，流程比较可行，具体详实得5分，有流程但不具体得2分，无流程不得分。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41" w:hRule="atLeast"/>
          <w:jc w:val="center"/>
        </w:trPr>
        <w:tc>
          <w:tcPr>
            <w:tcW w:w="805" w:type="dxa"/>
            <w:vMerge w:val="continue"/>
            <w:vAlign w:val="center"/>
          </w:tcPr>
          <w:p>
            <w:pPr>
              <w:spacing w:line="400" w:lineRule="exact"/>
              <w:ind w:firstLine="420" w:firstLineChars="200"/>
              <w:jc w:val="left"/>
              <w:rPr>
                <w:rFonts w:hint="eastAsia" w:ascii="仿宋" w:hAnsi="仿宋" w:eastAsia="仿宋" w:cs="仿宋"/>
                <w:szCs w:val="21"/>
              </w:rPr>
            </w:pPr>
          </w:p>
        </w:tc>
        <w:tc>
          <w:tcPr>
            <w:tcW w:w="1133"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质疑处理能力</w:t>
            </w:r>
          </w:p>
        </w:tc>
        <w:tc>
          <w:tcPr>
            <w:tcW w:w="768" w:type="dxa"/>
            <w:vAlign w:val="center"/>
          </w:tcPr>
          <w:p>
            <w:pPr>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4</w:t>
            </w:r>
          </w:p>
        </w:tc>
        <w:tc>
          <w:tcPr>
            <w:tcW w:w="7385" w:type="dxa"/>
            <w:vAlign w:val="center"/>
          </w:tcPr>
          <w:p>
            <w:pPr>
              <w:ind w:firstLine="420" w:firstLineChars="200"/>
              <w:jc w:val="left"/>
              <w:rPr>
                <w:rFonts w:hint="eastAsia" w:ascii="仿宋" w:hAnsi="仿宋" w:eastAsia="仿宋" w:cs="仿宋"/>
                <w:szCs w:val="21"/>
              </w:rPr>
            </w:pPr>
            <w:r>
              <w:rPr>
                <w:rFonts w:hint="eastAsia" w:ascii="仿宋" w:hAnsi="仿宋" w:eastAsia="仿宋" w:cs="仿宋"/>
                <w:szCs w:val="21"/>
              </w:rPr>
              <w:t>根据代理机构质疑处理方案进行评审。有处理方案且具体得4分，有方案不具体得2分，无方案不得分。</w:t>
            </w:r>
          </w:p>
        </w:tc>
      </w:tr>
      <w:bookmarkEnd w:id="1"/>
    </w:tbl>
    <w:p>
      <w:pPr>
        <w:ind w:firstLine="640" w:firstLineChars="200"/>
        <w:jc w:val="left"/>
        <w:rPr>
          <w:rFonts w:hint="eastAsia" w:ascii="仿宋" w:hAnsi="仿宋" w:eastAsia="仿宋" w:cs="仿宋"/>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D573F"/>
    <w:rsid w:val="000D573F"/>
    <w:rsid w:val="5B616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semiHidden/>
    <w:uiPriority w:val="99"/>
    <w:rPr>
      <w:sz w:val="18"/>
      <w:szCs w:val="18"/>
    </w:rPr>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317</Words>
  <Characters>1811</Characters>
  <Lines>15</Lines>
  <Paragraphs>4</Paragraphs>
  <TotalTime>0</TotalTime>
  <ScaleCrop>false</ScaleCrop>
  <LinksUpToDate>false</LinksUpToDate>
  <CharactersWithSpaces>2124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2025-09-29T01:40:00Z</dcterms:created>
  <dc:creator>Administrator</dc:creator>
  <cp:lastModifiedBy>Administrator</cp:lastModifiedBy>
  <dcterms:modified xsi:type="dcterms:W3CDTF">2025-09-29T01:41:51Z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