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32"/>
          <w:szCs w:val="40"/>
        </w:rPr>
      </w:pPr>
      <w:r>
        <w:rPr>
          <w:rFonts w:hint="eastAsia"/>
          <w:sz w:val="32"/>
          <w:szCs w:val="40"/>
        </w:rPr>
        <w:t>公安县人民医院医学装备采购参数确认表</w:t>
      </w:r>
    </w:p>
    <w:p>
      <w:pPr>
        <w:pStyle w:val="2"/>
        <w:spacing w:before="0" w:beforeAutospacing="0" w:after="0" w:afterAutospacing="0" w:line="440" w:lineRule="exact"/>
        <w:jc w:val="both"/>
        <w:rPr>
          <w:b/>
          <w:bCs/>
          <w:color w:val="000000" w:themeColor="text1"/>
          <w:sz w:val="21"/>
          <w:szCs w:val="21"/>
        </w:rPr>
      </w:pPr>
      <w:r>
        <w:rPr>
          <w:rFonts w:hint="eastAsia"/>
          <w:b/>
          <w:bCs/>
          <w:color w:val="000000" w:themeColor="text1"/>
          <w:sz w:val="21"/>
          <w:szCs w:val="21"/>
        </w:rPr>
        <w:t>1.电子支气管内窥镜：</w:t>
      </w:r>
    </w:p>
    <w:p>
      <w:pPr>
        <w:spacing w:line="440" w:lineRule="exact"/>
        <w:rPr>
          <w:rFonts w:ascii="宋体" w:hAnsi="宋体" w:cs="宋体"/>
          <w:color w:val="000000" w:themeColor="text1"/>
          <w:szCs w:val="21"/>
        </w:rPr>
      </w:pPr>
      <w:r>
        <w:rPr>
          <w:rFonts w:hint="eastAsia" w:ascii="宋体" w:hAnsi="宋体"/>
          <w:color w:val="000000" w:themeColor="text1"/>
          <w:szCs w:val="21"/>
        </w:rPr>
        <w:t>1.1</w:t>
      </w:r>
      <w:r>
        <w:rPr>
          <w:rFonts w:hint="eastAsia" w:ascii="宋体" w:hAnsi="宋体" w:cs="宋体"/>
          <w:color w:val="000000" w:themeColor="text1"/>
          <w:szCs w:val="21"/>
        </w:rPr>
        <w:t>视场角≥120°；</w:t>
      </w:r>
    </w:p>
    <w:p>
      <w:pPr>
        <w:spacing w:line="440" w:lineRule="exact"/>
        <w:rPr>
          <w:rFonts w:ascii="宋体" w:hAnsi="宋体" w:cs="宋体"/>
          <w:color w:val="000000" w:themeColor="text1"/>
          <w:szCs w:val="21"/>
        </w:rPr>
      </w:pPr>
      <w:r>
        <w:rPr>
          <w:rFonts w:hint="eastAsia" w:ascii="宋体" w:hAnsi="宋体"/>
          <w:color w:val="000000" w:themeColor="text1"/>
          <w:szCs w:val="21"/>
        </w:rPr>
        <w:t>1.2景深：</w:t>
      </w:r>
      <w:r>
        <w:rPr>
          <w:rFonts w:hint="eastAsia" w:ascii="宋体" w:hAnsi="宋体" w:cs="宋体"/>
          <w:color w:val="000000" w:themeColor="text1"/>
          <w:szCs w:val="21"/>
        </w:rPr>
        <w:t>3-100mm；</w:t>
      </w:r>
    </w:p>
    <w:p>
      <w:pPr>
        <w:spacing w:line="440" w:lineRule="exact"/>
        <w:rPr>
          <w:rFonts w:ascii="宋体" w:hAnsi="宋体"/>
          <w:szCs w:val="21"/>
        </w:rPr>
      </w:pPr>
      <w:r>
        <w:rPr>
          <w:rFonts w:hint="eastAsia" w:ascii="微软雅黑" w:hAnsi="微软雅黑" w:eastAsia="微软雅黑" w:cs="宋体"/>
          <w:szCs w:val="21"/>
        </w:rPr>
        <w:t>▲</w:t>
      </w:r>
      <w:r>
        <w:rPr>
          <w:rFonts w:hint="eastAsia" w:ascii="宋体" w:hAnsi="宋体"/>
          <w:szCs w:val="21"/>
        </w:rPr>
        <w:t>1.3</w:t>
      </w:r>
      <w:r>
        <w:rPr>
          <w:rFonts w:hint="eastAsia" w:ascii="宋体" w:hAnsi="宋体" w:cs="宋体"/>
          <w:szCs w:val="21"/>
        </w:rPr>
        <w:t>吸引阀座一体式防脱设计；</w:t>
      </w:r>
    </w:p>
    <w:p>
      <w:pPr>
        <w:spacing w:line="440" w:lineRule="exact"/>
        <w:rPr>
          <w:rFonts w:ascii="宋体" w:hAnsi="宋体"/>
          <w:szCs w:val="21"/>
        </w:rPr>
      </w:pPr>
      <w:r>
        <w:rPr>
          <w:rFonts w:hint="eastAsia" w:ascii="微软雅黑" w:hAnsi="微软雅黑" w:eastAsia="微软雅黑" w:cs="宋体"/>
          <w:szCs w:val="21"/>
        </w:rPr>
        <w:t>▲</w:t>
      </w:r>
      <w:r>
        <w:rPr>
          <w:rFonts w:hint="eastAsia" w:ascii="宋体" w:hAnsi="宋体"/>
          <w:szCs w:val="21"/>
        </w:rPr>
        <w:t>1.4操作手柄具备3个功能按键；</w:t>
      </w:r>
    </w:p>
    <w:p>
      <w:pPr>
        <w:pStyle w:val="5"/>
        <w:spacing w:before="0" w:beforeAutospacing="0" w:after="0" w:afterAutospacing="0" w:line="440" w:lineRule="exact"/>
        <w:jc w:val="both"/>
        <w:rPr>
          <w:sz w:val="21"/>
          <w:szCs w:val="21"/>
        </w:rPr>
      </w:pPr>
      <w:r>
        <w:rPr>
          <w:rFonts w:hint="eastAsia" w:ascii="微软雅黑" w:hAnsi="微软雅黑" w:eastAsia="微软雅黑"/>
          <w:sz w:val="21"/>
          <w:szCs w:val="21"/>
        </w:rPr>
        <w:t>▲</w:t>
      </w:r>
      <w:r>
        <w:rPr>
          <w:rFonts w:hint="eastAsia"/>
          <w:sz w:val="21"/>
          <w:szCs w:val="21"/>
        </w:rPr>
        <w:t>1.5软镜插入管外径≤2.8mm，工作管道内径≥1.2mm；</w:t>
      </w:r>
    </w:p>
    <w:p>
      <w:pPr>
        <w:spacing w:line="440" w:lineRule="exact"/>
        <w:rPr>
          <w:rFonts w:ascii="宋体" w:hAnsi="宋体"/>
          <w:szCs w:val="21"/>
        </w:rPr>
      </w:pPr>
      <w:r>
        <w:rPr>
          <w:rFonts w:hint="eastAsia" w:ascii="宋体" w:hAnsi="宋体" w:cs="宋体"/>
          <w:szCs w:val="21"/>
        </w:rPr>
        <w:t>1.6</w:t>
      </w:r>
      <w:r>
        <w:rPr>
          <w:rFonts w:hint="eastAsia" w:ascii="宋体" w:hAnsi="宋体"/>
          <w:szCs w:val="21"/>
        </w:rPr>
        <w:t>成像原理：电子成像技术，工作软管不含导像、导光纤维；</w:t>
      </w:r>
    </w:p>
    <w:p>
      <w:pPr>
        <w:spacing w:line="440" w:lineRule="exact"/>
        <w:rPr>
          <w:rFonts w:ascii="宋体" w:hAnsi="宋体"/>
          <w:szCs w:val="21"/>
        </w:rPr>
      </w:pPr>
      <w:r>
        <w:rPr>
          <w:rFonts w:hint="eastAsia" w:ascii="宋体" w:hAnsi="宋体"/>
          <w:szCs w:val="21"/>
        </w:rPr>
        <w:t>1.7软镜工作软管有效长度610mm</w:t>
      </w:r>
      <w:r>
        <w:rPr>
          <w:rFonts w:ascii="宋体" w:hAnsi="宋体"/>
          <w:szCs w:val="21"/>
        </w:rPr>
        <w:t>,</w:t>
      </w:r>
      <w:r>
        <w:rPr>
          <w:rFonts w:hint="eastAsia" w:ascii="宋体" w:hAnsi="宋体"/>
          <w:szCs w:val="21"/>
        </w:rPr>
        <w:t>插入管自带有360°刻度标识；</w:t>
      </w:r>
    </w:p>
    <w:p>
      <w:pPr>
        <w:spacing w:line="440" w:lineRule="exact"/>
        <w:rPr>
          <w:rFonts w:ascii="宋体" w:hAnsi="宋体"/>
          <w:szCs w:val="21"/>
        </w:rPr>
      </w:pPr>
      <w:r>
        <w:rPr>
          <w:rFonts w:hint="eastAsia" w:ascii="宋体" w:hAnsi="宋体"/>
          <w:szCs w:val="21"/>
        </w:rPr>
        <w:t>1.8插入管先端头采用医用高分子材料，内外绝缘，确保手术安全；</w:t>
      </w:r>
    </w:p>
    <w:p>
      <w:pPr>
        <w:spacing w:line="440" w:lineRule="exact"/>
        <w:rPr>
          <w:rFonts w:ascii="宋体" w:hAnsi="宋体"/>
          <w:szCs w:val="21"/>
        </w:rPr>
      </w:pPr>
      <w:r>
        <w:rPr>
          <w:rFonts w:hint="eastAsia" w:ascii="宋体" w:hAnsi="宋体"/>
          <w:szCs w:val="21"/>
        </w:rPr>
        <w:t>1.9插入管软管前端弯曲角度：向上弯曲210°，向下弯曲130°，双向弯曲340°；</w:t>
      </w:r>
    </w:p>
    <w:p>
      <w:pPr>
        <w:spacing w:line="440" w:lineRule="exact"/>
        <w:rPr>
          <w:rFonts w:ascii="宋体" w:hAnsi="宋体"/>
          <w:szCs w:val="21"/>
        </w:rPr>
      </w:pPr>
      <w:r>
        <w:rPr>
          <w:rFonts w:hint="eastAsia" w:ascii="宋体" w:hAnsi="宋体"/>
          <w:szCs w:val="21"/>
        </w:rPr>
        <w:t>1.10插入管具有被动弯曲关节，可实现灵活的插入；</w:t>
      </w:r>
    </w:p>
    <w:p>
      <w:pPr>
        <w:spacing w:line="440" w:lineRule="exact"/>
        <w:rPr>
          <w:rFonts w:ascii="宋体" w:hAnsi="宋体"/>
          <w:szCs w:val="21"/>
        </w:rPr>
      </w:pPr>
      <w:r>
        <w:rPr>
          <w:rFonts w:hint="eastAsia" w:ascii="微软雅黑" w:hAnsi="微软雅黑" w:eastAsia="微软雅黑" w:cs="宋体"/>
          <w:szCs w:val="21"/>
        </w:rPr>
        <w:t>▲</w:t>
      </w:r>
      <w:r>
        <w:rPr>
          <w:rFonts w:hint="eastAsia" w:ascii="宋体" w:hAnsi="宋体"/>
          <w:szCs w:val="21"/>
        </w:rPr>
        <w:t>1.11操作手柄具备左右旋转关节，可带动插入软管部先端左右旋转，向左120°，向右120°；</w:t>
      </w:r>
    </w:p>
    <w:p>
      <w:pPr>
        <w:spacing w:line="440" w:lineRule="exact"/>
        <w:rPr>
          <w:rFonts w:ascii="宋体" w:hAnsi="宋体"/>
          <w:szCs w:val="21"/>
        </w:rPr>
      </w:pPr>
      <w:r>
        <w:rPr>
          <w:rFonts w:hint="eastAsia" w:ascii="微软雅黑" w:hAnsi="微软雅黑" w:eastAsia="微软雅黑" w:cs="宋体"/>
          <w:szCs w:val="21"/>
        </w:rPr>
        <w:t>▲</w:t>
      </w:r>
      <w:r>
        <w:rPr>
          <w:rFonts w:hint="eastAsia" w:ascii="宋体" w:hAnsi="宋体"/>
          <w:szCs w:val="21"/>
        </w:rPr>
        <w:t>1</w:t>
      </w:r>
      <w:r>
        <w:rPr>
          <w:rFonts w:ascii="宋体" w:hAnsi="宋体"/>
          <w:szCs w:val="21"/>
        </w:rPr>
        <w:t>.1</w:t>
      </w:r>
      <w:r>
        <w:rPr>
          <w:rFonts w:hint="eastAsia" w:ascii="宋体" w:hAnsi="宋体"/>
          <w:szCs w:val="21"/>
        </w:rPr>
        <w:t>2操作手柄上按键可控制</w:t>
      </w:r>
      <w:r>
        <w:rPr>
          <w:rFonts w:ascii="宋体" w:hAnsi="宋体"/>
          <w:szCs w:val="21"/>
        </w:rPr>
        <w:fldChar w:fldCharType="begin"/>
      </w:r>
      <w:r>
        <w:rPr>
          <w:rFonts w:hint="eastAsia" w:ascii="宋体" w:hAnsi="宋体"/>
          <w:szCs w:val="21"/>
        </w:rPr>
        <w:instrText xml:space="preserve">= 1 \* GB3</w:instrText>
      </w:r>
      <w:r>
        <w:rPr>
          <w:rFonts w:ascii="宋体" w:hAnsi="宋体"/>
          <w:szCs w:val="21"/>
        </w:rPr>
        <w:fldChar w:fldCharType="separate"/>
      </w:r>
      <w:r>
        <w:rPr>
          <w:rFonts w:hint="eastAsia" w:ascii="宋体" w:hAnsi="宋体"/>
          <w:szCs w:val="21"/>
        </w:rPr>
        <w:t>①</w:t>
      </w:r>
      <w:r>
        <w:rPr>
          <w:rFonts w:ascii="宋体" w:hAnsi="宋体"/>
          <w:szCs w:val="21"/>
        </w:rPr>
        <w:fldChar w:fldCharType="end"/>
      </w:r>
      <w:r>
        <w:rPr>
          <w:rFonts w:hint="eastAsia" w:ascii="宋体" w:hAnsi="宋体"/>
          <w:szCs w:val="21"/>
        </w:rPr>
        <w:t>图像放大/缩小、</w:t>
      </w:r>
      <w:r>
        <w:rPr>
          <w:rFonts w:ascii="宋体" w:hAnsi="宋体"/>
          <w:szCs w:val="21"/>
        </w:rPr>
        <w:fldChar w:fldCharType="begin"/>
      </w:r>
      <w:r>
        <w:rPr>
          <w:rFonts w:hint="eastAsia" w:ascii="宋体" w:hAnsi="宋体"/>
          <w:szCs w:val="21"/>
        </w:rPr>
        <w:instrText xml:space="preserve">= 2 \* GB3</w:instrText>
      </w:r>
      <w:r>
        <w:rPr>
          <w:rFonts w:ascii="宋体" w:hAnsi="宋体"/>
          <w:szCs w:val="21"/>
        </w:rPr>
        <w:fldChar w:fldCharType="separate"/>
      </w:r>
      <w:r>
        <w:rPr>
          <w:rFonts w:hint="eastAsia" w:ascii="宋体" w:hAnsi="宋体"/>
          <w:szCs w:val="21"/>
        </w:rPr>
        <w:t>②</w:t>
      </w:r>
      <w:r>
        <w:rPr>
          <w:rFonts w:ascii="宋体" w:hAnsi="宋体"/>
          <w:szCs w:val="21"/>
        </w:rPr>
        <w:fldChar w:fldCharType="end"/>
      </w:r>
      <w:r>
        <w:rPr>
          <w:rFonts w:hint="eastAsia" w:ascii="宋体" w:hAnsi="宋体"/>
          <w:szCs w:val="21"/>
        </w:rPr>
        <w:t>拍照</w:t>
      </w:r>
      <w:r>
        <w:rPr>
          <w:rFonts w:ascii="宋体" w:hAnsi="宋体"/>
          <w:szCs w:val="21"/>
        </w:rPr>
        <w:t>/</w:t>
      </w:r>
      <w:r>
        <w:rPr>
          <w:rFonts w:hint="eastAsia" w:ascii="宋体" w:hAnsi="宋体"/>
          <w:szCs w:val="21"/>
        </w:rPr>
        <w:t>录像、</w:t>
      </w:r>
      <w:r>
        <w:rPr>
          <w:rFonts w:ascii="宋体" w:hAnsi="宋体"/>
          <w:szCs w:val="21"/>
        </w:rPr>
        <w:fldChar w:fldCharType="begin"/>
      </w:r>
      <w:r>
        <w:rPr>
          <w:rFonts w:hint="eastAsia" w:ascii="宋体" w:hAnsi="宋体"/>
          <w:szCs w:val="21"/>
        </w:rPr>
        <w:instrText xml:space="preserve">= 3 \* GB3</w:instrText>
      </w:r>
      <w:r>
        <w:rPr>
          <w:rFonts w:ascii="宋体" w:hAnsi="宋体"/>
          <w:szCs w:val="21"/>
        </w:rPr>
        <w:fldChar w:fldCharType="separate"/>
      </w:r>
      <w:r>
        <w:rPr>
          <w:rFonts w:hint="eastAsia" w:ascii="宋体" w:hAnsi="宋体"/>
          <w:szCs w:val="21"/>
        </w:rPr>
        <w:t>③</w:t>
      </w:r>
      <w:r>
        <w:rPr>
          <w:rFonts w:ascii="宋体" w:hAnsi="宋体"/>
          <w:szCs w:val="21"/>
        </w:rPr>
        <w:fldChar w:fldCharType="end"/>
      </w:r>
      <w:r>
        <w:rPr>
          <w:rFonts w:hint="eastAsia" w:ascii="宋体" w:hAnsi="宋体"/>
          <w:szCs w:val="21"/>
        </w:rPr>
        <w:t>画面冻结/解冻结；</w:t>
      </w:r>
    </w:p>
    <w:p>
      <w:pPr>
        <w:spacing w:line="440" w:lineRule="exact"/>
        <w:rPr>
          <w:rFonts w:ascii="宋体" w:hAnsi="宋体"/>
          <w:szCs w:val="21"/>
        </w:rPr>
      </w:pPr>
      <w:r>
        <w:rPr>
          <w:rFonts w:hint="eastAsia" w:ascii="宋体" w:hAnsi="宋体"/>
          <w:szCs w:val="21"/>
        </w:rPr>
        <w:t>1.13视频转接线与操作手柄一体式设计，转接线可耐受浸泡消毒；</w:t>
      </w:r>
    </w:p>
    <w:p>
      <w:pPr>
        <w:spacing w:line="440" w:lineRule="exact"/>
        <w:rPr>
          <w:rFonts w:ascii="宋体" w:hAnsi="宋体"/>
          <w:szCs w:val="21"/>
        </w:rPr>
      </w:pPr>
      <w:r>
        <w:rPr>
          <w:rFonts w:hint="eastAsia" w:ascii="宋体" w:hAnsi="宋体"/>
          <w:szCs w:val="21"/>
        </w:rPr>
        <w:t>1</w:t>
      </w:r>
      <w:r>
        <w:rPr>
          <w:rFonts w:ascii="宋体" w:hAnsi="宋体"/>
          <w:szCs w:val="21"/>
        </w:rPr>
        <w:t>.1</w:t>
      </w:r>
      <w:r>
        <w:rPr>
          <w:rFonts w:hint="eastAsia" w:ascii="宋体" w:hAnsi="宋体"/>
          <w:szCs w:val="21"/>
        </w:rPr>
        <w:t>4内置LED冷光源，具备防雾功能，无需预热，即可观察；</w:t>
      </w:r>
    </w:p>
    <w:p>
      <w:pPr>
        <w:spacing w:line="440" w:lineRule="exact"/>
        <w:rPr>
          <w:rFonts w:ascii="宋体" w:hAnsi="宋体"/>
          <w:szCs w:val="21"/>
        </w:rPr>
      </w:pPr>
      <w:r>
        <w:rPr>
          <w:rFonts w:hint="eastAsia" w:ascii="宋体" w:hAnsi="宋体"/>
          <w:szCs w:val="21"/>
        </w:rPr>
        <w:t>1</w:t>
      </w:r>
      <w:r>
        <w:rPr>
          <w:rFonts w:ascii="宋体" w:hAnsi="宋体"/>
          <w:szCs w:val="21"/>
        </w:rPr>
        <w:t>.1</w:t>
      </w:r>
      <w:r>
        <w:rPr>
          <w:rFonts w:hint="eastAsia" w:ascii="宋体" w:hAnsi="宋体"/>
          <w:szCs w:val="21"/>
        </w:rPr>
        <w:t>5操作手柄为医用高分子材料材质，轻盈更耐腐蚀；</w:t>
      </w:r>
    </w:p>
    <w:p>
      <w:pPr>
        <w:spacing w:line="440" w:lineRule="exact"/>
        <w:rPr>
          <w:rFonts w:ascii="宋体" w:hAnsi="宋体"/>
          <w:szCs w:val="21"/>
        </w:rPr>
      </w:pPr>
      <w:r>
        <w:rPr>
          <w:rFonts w:hint="eastAsia" w:ascii="宋体" w:hAnsi="宋体"/>
          <w:szCs w:val="21"/>
        </w:rPr>
        <w:t>1.16操作部防水等级：IPX7，配备防水盖可进行全浸泡消毒；</w:t>
      </w:r>
    </w:p>
    <w:p>
      <w:pPr>
        <w:spacing w:line="440" w:lineRule="exact"/>
        <w:rPr>
          <w:rFonts w:asciiTheme="minorEastAsia" w:hAnsiTheme="minorEastAsia" w:eastAsiaTheme="minorEastAsia" w:cstheme="minorEastAsia"/>
          <w:bCs/>
          <w:color w:val="000000" w:themeColor="text1"/>
          <w:szCs w:val="21"/>
        </w:rPr>
      </w:pPr>
      <w:r>
        <w:rPr>
          <w:rFonts w:ascii="宋体" w:hAnsi="宋体"/>
          <w:szCs w:val="21"/>
        </w:rPr>
        <w:t>1.1</w:t>
      </w:r>
      <w:r>
        <w:rPr>
          <w:rFonts w:hint="eastAsia" w:ascii="宋体" w:hAnsi="宋体"/>
          <w:szCs w:val="21"/>
        </w:rPr>
        <w:t>7采用智能主控芯片，具备无需手动调节即可实现自动控制图像曝光度功能。</w:t>
      </w:r>
    </w:p>
    <w:p>
      <w:pPr>
        <w:numPr>
          <w:ilvl w:val="0"/>
          <w:numId w:val="1"/>
        </w:numPr>
        <w:spacing w:line="360" w:lineRule="auto"/>
        <w:rPr>
          <w:rFonts w:hint="eastAsia" w:asciiTheme="minorEastAsia" w:hAnsiTheme="minorEastAsia" w:eastAsiaTheme="minorEastAsia" w:cstheme="minorEastAsia"/>
          <w:b/>
          <w:bCs/>
          <w:color w:val="000000" w:themeColor="text1"/>
          <w:szCs w:val="21"/>
        </w:rPr>
      </w:pPr>
      <w:r>
        <w:rPr>
          <w:rFonts w:hint="eastAsia" w:asciiTheme="minorEastAsia" w:hAnsiTheme="minorEastAsia" w:eastAsiaTheme="minorEastAsia" w:cstheme="minorEastAsia"/>
          <w:b/>
          <w:bCs/>
          <w:color w:val="000000" w:themeColor="text1"/>
          <w:szCs w:val="21"/>
        </w:rPr>
        <w:t>培训服务：</w:t>
      </w:r>
    </w:p>
    <w:p>
      <w:pPr>
        <w:numPr>
          <w:ilvl w:val="0"/>
          <w:numId w:val="1"/>
        </w:numPr>
        <w:spacing w:line="360" w:lineRule="auto"/>
        <w:rPr>
          <w:rFonts w:ascii="宋体" w:hAnsi="宋体"/>
          <w:color w:val="000000" w:themeColor="text1"/>
          <w:szCs w:val="21"/>
        </w:rPr>
      </w:pPr>
      <w:r>
        <w:rPr>
          <w:rFonts w:hint="eastAsia" w:ascii="宋体" w:hAnsi="宋体"/>
          <w:color w:val="000000" w:themeColor="text1"/>
          <w:szCs w:val="21"/>
        </w:rPr>
        <w:t>2</w:t>
      </w:r>
      <w:r>
        <w:rPr>
          <w:rFonts w:ascii="宋体" w:hAnsi="宋体"/>
          <w:color w:val="000000" w:themeColor="text1"/>
          <w:szCs w:val="21"/>
        </w:rPr>
        <w:t>.1</w:t>
      </w:r>
      <w:r>
        <w:rPr>
          <w:rFonts w:hint="eastAsia" w:ascii="宋体" w:hAnsi="宋体"/>
          <w:color w:val="000000" w:themeColor="text1"/>
          <w:szCs w:val="21"/>
        </w:rPr>
        <w:t>提供专业的人员上门培训，保证操作者能掌握电子支气管内窥镜的操作技能；</w:t>
      </w:r>
    </w:p>
    <w:p>
      <w:pPr>
        <w:spacing w:line="440" w:lineRule="exact"/>
        <w:rPr>
          <w:rFonts w:hint="eastAsia" w:ascii="宋体" w:hAnsi="宋体"/>
          <w:color w:val="000000" w:themeColor="text1"/>
          <w:szCs w:val="21"/>
        </w:rPr>
      </w:pPr>
      <w:r>
        <w:rPr>
          <w:rFonts w:hint="eastAsia" w:ascii="宋体" w:hAnsi="宋体"/>
          <w:color w:val="000000" w:themeColor="text1"/>
          <w:szCs w:val="21"/>
        </w:rPr>
        <w:t>2</w:t>
      </w:r>
      <w:r>
        <w:rPr>
          <w:rFonts w:ascii="宋体" w:hAnsi="宋体"/>
          <w:color w:val="000000" w:themeColor="text1"/>
          <w:szCs w:val="21"/>
        </w:rPr>
        <w:t>.2</w:t>
      </w:r>
      <w:r>
        <w:rPr>
          <w:rFonts w:hint="eastAsia" w:ascii="宋体" w:hAnsi="宋体"/>
          <w:color w:val="000000" w:themeColor="text1"/>
          <w:szCs w:val="21"/>
        </w:rPr>
        <w:t>拥有完善的系统培训方案，可提供针对性的培训课程及相关学习资料。</w:t>
      </w:r>
    </w:p>
    <w:p>
      <w:pPr>
        <w:spacing w:line="440" w:lineRule="exact"/>
        <w:rPr>
          <w:b/>
          <w:bCs/>
          <w:color w:val="000000" w:themeColor="text1"/>
          <w:sz w:val="21"/>
          <w:szCs w:val="21"/>
        </w:rPr>
      </w:pPr>
      <w:r>
        <w:rPr>
          <w:rFonts w:hint="eastAsia"/>
          <w:b/>
          <w:bCs/>
          <w:color w:val="000000" w:themeColor="text1"/>
          <w:sz w:val="21"/>
          <w:szCs w:val="21"/>
        </w:rPr>
        <w:t>2.电子内窥镜图像处理器：</w:t>
      </w:r>
    </w:p>
    <w:p>
      <w:pPr>
        <w:pStyle w:val="2"/>
        <w:numPr>
          <w:numId w:val="0"/>
        </w:numPr>
        <w:spacing w:before="0" w:beforeAutospacing="0" w:after="0" w:afterAutospacing="0" w:line="360" w:lineRule="auto"/>
        <w:ind w:leftChars="0"/>
        <w:rPr>
          <w:b/>
          <w:szCs w:val="24"/>
        </w:rPr>
      </w:pPr>
      <w:r>
        <w:rPr>
          <w:rFonts w:hint="eastAsia"/>
          <w:b/>
          <w:szCs w:val="24"/>
          <w:lang w:val="en-US" w:eastAsia="zh-CN"/>
        </w:rPr>
        <w:t>1.</w:t>
      </w:r>
      <w:r>
        <w:rPr>
          <w:rFonts w:hint="eastAsia"/>
          <w:b/>
          <w:szCs w:val="24"/>
        </w:rPr>
        <w:t>技术参数</w:t>
      </w:r>
    </w:p>
    <w:p>
      <w:pPr>
        <w:pStyle w:val="2"/>
        <w:spacing w:before="0" w:beforeAutospacing="0" w:after="0" w:afterAutospacing="0" w:line="420" w:lineRule="exact"/>
        <w:jc w:val="both"/>
        <w:rPr>
          <w:szCs w:val="24"/>
        </w:rPr>
      </w:pPr>
      <w:r>
        <w:rPr>
          <w:rFonts w:hint="eastAsia" w:ascii="微软雅黑" w:hAnsi="微软雅黑" w:eastAsia="微软雅黑"/>
          <w:szCs w:val="24"/>
        </w:rPr>
        <w:t>▲</w:t>
      </w:r>
      <w:r>
        <w:rPr>
          <w:rFonts w:hint="eastAsia"/>
          <w:szCs w:val="24"/>
        </w:rPr>
        <w:t>1.1具备医疗器械注册证</w:t>
      </w:r>
      <w:r>
        <w:rPr>
          <w:szCs w:val="24"/>
        </w:rPr>
        <w:t>。</w:t>
      </w:r>
    </w:p>
    <w:p>
      <w:pPr>
        <w:spacing w:line="360" w:lineRule="auto"/>
        <w:rPr>
          <w:rFonts w:asciiTheme="minorEastAsia" w:hAnsiTheme="minorEastAsia" w:eastAsiaTheme="minorEastAsia" w:cstheme="minorEastAsia"/>
          <w:bCs/>
          <w:sz w:val="24"/>
          <w:szCs w:val="24"/>
        </w:rPr>
      </w:pPr>
      <w:r>
        <w:rPr>
          <w:rFonts w:asciiTheme="minorEastAsia" w:hAnsiTheme="minorEastAsia" w:cstheme="minorEastAsia"/>
          <w:sz w:val="24"/>
          <w:szCs w:val="24"/>
        </w:rPr>
        <w:t>1</w:t>
      </w:r>
      <w:r>
        <w:rPr>
          <w:rFonts w:hint="eastAsia" w:asciiTheme="minorEastAsia" w:hAnsiTheme="minorEastAsia" w:cstheme="minorEastAsia"/>
          <w:sz w:val="24"/>
          <w:szCs w:val="24"/>
        </w:rPr>
        <w:t>.</w:t>
      </w:r>
      <w:r>
        <w:rPr>
          <w:rFonts w:asciiTheme="minorEastAsia" w:hAnsiTheme="minorEastAsia" w:cstheme="minorEastAsia"/>
          <w:sz w:val="24"/>
          <w:szCs w:val="24"/>
        </w:rPr>
        <w:t>2</w:t>
      </w:r>
      <w:r>
        <w:rPr>
          <w:rFonts w:hint="eastAsia" w:asciiTheme="minorEastAsia" w:hAnsiTheme="minorEastAsia" w:cstheme="minorEastAsia"/>
          <w:sz w:val="24"/>
          <w:szCs w:val="24"/>
        </w:rPr>
        <w:t>显示屏：TFT-LCD，1</w:t>
      </w:r>
      <w:r>
        <w:rPr>
          <w:rFonts w:asciiTheme="minorEastAsia" w:hAnsiTheme="minorEastAsia" w:cstheme="minorEastAsia"/>
          <w:sz w:val="24"/>
          <w:szCs w:val="24"/>
        </w:rPr>
        <w:t>280</w:t>
      </w:r>
      <w:r>
        <w:rPr>
          <w:rFonts w:hint="eastAsia" w:asciiTheme="minorEastAsia" w:hAnsiTheme="minorEastAsia" w:cstheme="minorEastAsia"/>
          <w:sz w:val="24"/>
          <w:szCs w:val="24"/>
        </w:rPr>
        <w:t>*</w:t>
      </w:r>
      <w:r>
        <w:rPr>
          <w:rFonts w:asciiTheme="minorEastAsia" w:hAnsiTheme="minorEastAsia" w:cstheme="minorEastAsia"/>
          <w:sz w:val="24"/>
          <w:szCs w:val="24"/>
        </w:rPr>
        <w:t>800</w:t>
      </w:r>
      <w:r>
        <w:rPr>
          <w:rFonts w:hint="eastAsia" w:asciiTheme="minorEastAsia" w:hAnsiTheme="minorEastAsia" w:cstheme="minorEastAsia"/>
          <w:sz w:val="24"/>
          <w:szCs w:val="24"/>
        </w:rPr>
        <w:t>高清分辨率</w:t>
      </w:r>
      <w:r>
        <w:rPr>
          <w:rFonts w:asciiTheme="minorEastAsia" w:hAnsiTheme="minorEastAsia" w:cstheme="minorEastAsia"/>
          <w:sz w:val="24"/>
          <w:szCs w:val="24"/>
        </w:rPr>
        <w:t>。</w:t>
      </w:r>
    </w:p>
    <w:p>
      <w:pPr>
        <w:pStyle w:val="2"/>
        <w:spacing w:before="0" w:beforeAutospacing="0" w:after="0" w:afterAutospacing="0" w:line="420" w:lineRule="exact"/>
        <w:jc w:val="both"/>
        <w:rPr>
          <w:szCs w:val="24"/>
        </w:rPr>
      </w:pPr>
      <w:r>
        <w:rPr>
          <w:rFonts w:hint="eastAsia"/>
          <w:szCs w:val="24"/>
        </w:rPr>
        <w:t>1.3 触摸屏：电容式触摸屏</w:t>
      </w:r>
      <w:r>
        <w:rPr>
          <w:szCs w:val="24"/>
        </w:rPr>
        <w:t>。</w:t>
      </w:r>
    </w:p>
    <w:p>
      <w:pPr>
        <w:pStyle w:val="2"/>
        <w:spacing w:before="0" w:beforeAutospacing="0" w:after="0" w:afterAutospacing="0" w:line="420" w:lineRule="exact"/>
        <w:jc w:val="both"/>
        <w:rPr>
          <w:szCs w:val="24"/>
        </w:rPr>
      </w:pPr>
      <w:r>
        <w:rPr>
          <w:szCs w:val="24"/>
        </w:rPr>
        <w:t>1</w:t>
      </w:r>
      <w:r>
        <w:rPr>
          <w:rFonts w:hint="eastAsia"/>
          <w:szCs w:val="24"/>
        </w:rPr>
        <w:t>.</w:t>
      </w:r>
      <w:r>
        <w:rPr>
          <w:szCs w:val="24"/>
        </w:rPr>
        <w:t xml:space="preserve">4 </w:t>
      </w:r>
      <w:r>
        <w:rPr>
          <w:rFonts w:hint="eastAsia"/>
          <w:szCs w:val="24"/>
        </w:rPr>
        <w:t>显示功能：自带显示屏10.1英寸，开机时间5秒</w:t>
      </w:r>
      <w:r>
        <w:rPr>
          <w:szCs w:val="24"/>
        </w:rPr>
        <w:t>，</w:t>
      </w:r>
      <w:r>
        <w:rPr>
          <w:rFonts w:hint="eastAsia"/>
          <w:szCs w:val="24"/>
        </w:rPr>
        <w:t>即能实现图像显示,满足临床快速使用需求</w:t>
      </w:r>
      <w:r>
        <w:rPr>
          <w:szCs w:val="24"/>
        </w:rPr>
        <w:t>。</w:t>
      </w:r>
    </w:p>
    <w:p>
      <w:pPr>
        <w:pStyle w:val="2"/>
        <w:spacing w:before="0" w:beforeAutospacing="0" w:after="0" w:afterAutospacing="0" w:line="420" w:lineRule="exact"/>
        <w:jc w:val="both"/>
        <w:rPr>
          <w:szCs w:val="24"/>
        </w:rPr>
      </w:pPr>
      <w:bookmarkStart w:id="0" w:name="_Hlk52280854"/>
      <w:r>
        <w:rPr>
          <w:rFonts w:hint="eastAsia" w:ascii="微软雅黑" w:hAnsi="微软雅黑" w:eastAsia="微软雅黑"/>
          <w:szCs w:val="24"/>
        </w:rPr>
        <w:t>▲</w:t>
      </w:r>
      <w:r>
        <w:rPr>
          <w:rFonts w:hint="eastAsia"/>
          <w:szCs w:val="24"/>
        </w:rPr>
        <w:t>1.</w:t>
      </w:r>
      <w:r>
        <w:rPr>
          <w:szCs w:val="24"/>
        </w:rPr>
        <w:t>5</w:t>
      </w:r>
      <w:r>
        <w:rPr>
          <w:rFonts w:hint="eastAsia"/>
          <w:szCs w:val="24"/>
        </w:rPr>
        <w:t>通过操作部功能按键即可实现：图像放大缩小，图像冻结，拍照，录像功能（无需触摸屏幕，避免术后消毒问题）</w:t>
      </w:r>
      <w:r>
        <w:rPr>
          <w:szCs w:val="24"/>
        </w:rPr>
        <w:t>。</w:t>
      </w:r>
      <w:bookmarkEnd w:id="0"/>
    </w:p>
    <w:p>
      <w:pPr>
        <w:pStyle w:val="2"/>
        <w:spacing w:before="0" w:beforeAutospacing="0" w:after="0" w:afterAutospacing="0" w:line="420" w:lineRule="exact"/>
        <w:jc w:val="both"/>
        <w:rPr>
          <w:szCs w:val="24"/>
        </w:rPr>
      </w:pPr>
      <w:bookmarkStart w:id="1" w:name="_Hlk52269290"/>
      <w:bookmarkStart w:id="2" w:name="_Hlk52281100"/>
      <w:r>
        <w:rPr>
          <w:rFonts w:hint="eastAsia"/>
          <w:szCs w:val="24"/>
        </w:rPr>
        <w:t>1.</w:t>
      </w:r>
      <w:r>
        <w:rPr>
          <w:szCs w:val="24"/>
        </w:rPr>
        <w:t>6</w:t>
      </w:r>
      <w:r>
        <w:rPr>
          <w:rFonts w:hint="eastAsia"/>
          <w:szCs w:val="24"/>
        </w:rPr>
        <w:t>预览、隐藏功能：具有可实时观察、记录与回放功能，且可一键隐藏所有按键功能</w:t>
      </w:r>
      <w:r>
        <w:rPr>
          <w:szCs w:val="24"/>
        </w:rPr>
        <w:t>。</w:t>
      </w:r>
      <w:r>
        <w:rPr>
          <w:rFonts w:hint="eastAsia"/>
          <w:szCs w:val="24"/>
        </w:rPr>
        <w:t>有利于临床操作使用</w:t>
      </w:r>
      <w:r>
        <w:rPr>
          <w:szCs w:val="24"/>
        </w:rPr>
        <w:t>。</w:t>
      </w:r>
      <w:bookmarkEnd w:id="1"/>
      <w:bookmarkEnd w:id="2"/>
    </w:p>
    <w:p>
      <w:pPr>
        <w:pStyle w:val="2"/>
        <w:spacing w:before="0" w:beforeAutospacing="0" w:after="0" w:afterAutospacing="0" w:line="420" w:lineRule="exact"/>
        <w:jc w:val="both"/>
        <w:rPr>
          <w:szCs w:val="24"/>
        </w:rPr>
      </w:pPr>
      <w:r>
        <w:rPr>
          <w:rFonts w:hint="eastAsia"/>
          <w:szCs w:val="24"/>
        </w:rPr>
        <w:t>1.</w:t>
      </w:r>
      <w:r>
        <w:rPr>
          <w:szCs w:val="24"/>
        </w:rPr>
        <w:t>7</w:t>
      </w:r>
      <w:r>
        <w:rPr>
          <w:rFonts w:hint="eastAsia"/>
          <w:szCs w:val="24"/>
        </w:rPr>
        <w:t>调节图像输出比例功能：在外接显示器时，可向外接显示器输出16:9和4:3两种显示比例的图像</w:t>
      </w:r>
      <w:r>
        <w:rPr>
          <w:szCs w:val="24"/>
        </w:rPr>
        <w:t>。</w:t>
      </w:r>
    </w:p>
    <w:p>
      <w:pPr>
        <w:pStyle w:val="2"/>
        <w:spacing w:before="0" w:beforeAutospacing="0" w:after="0" w:afterAutospacing="0" w:line="420" w:lineRule="exact"/>
        <w:jc w:val="both"/>
        <w:rPr>
          <w:szCs w:val="24"/>
        </w:rPr>
      </w:pPr>
      <w:r>
        <w:rPr>
          <w:szCs w:val="24"/>
        </w:rPr>
        <w:t>1</w:t>
      </w:r>
      <w:r>
        <w:rPr>
          <w:rFonts w:hint="eastAsia"/>
          <w:szCs w:val="24"/>
        </w:rPr>
        <w:t>.</w:t>
      </w:r>
      <w:r>
        <w:rPr>
          <w:szCs w:val="24"/>
        </w:rPr>
        <w:t>8</w:t>
      </w:r>
      <w:r>
        <w:rPr>
          <w:rFonts w:hint="eastAsia"/>
          <w:szCs w:val="24"/>
        </w:rPr>
        <w:t>具有多种图像输出形状可选</w:t>
      </w:r>
      <w:r>
        <w:rPr>
          <w:szCs w:val="24"/>
        </w:rPr>
        <w:t>。</w:t>
      </w:r>
    </w:p>
    <w:p>
      <w:pPr>
        <w:pStyle w:val="2"/>
        <w:spacing w:before="0" w:beforeAutospacing="0" w:after="0" w:afterAutospacing="0" w:line="420" w:lineRule="exact"/>
        <w:jc w:val="both"/>
        <w:rPr>
          <w:szCs w:val="24"/>
        </w:rPr>
      </w:pPr>
      <w:bookmarkStart w:id="3" w:name="_Hlk52269302"/>
      <w:r>
        <w:rPr>
          <w:rFonts w:hint="eastAsia"/>
          <w:szCs w:val="24"/>
        </w:rPr>
        <w:t>1.</w:t>
      </w:r>
      <w:r>
        <w:rPr>
          <w:szCs w:val="24"/>
        </w:rPr>
        <w:t>9</w:t>
      </w:r>
      <w:r>
        <w:rPr>
          <w:rFonts w:hint="eastAsia"/>
          <w:szCs w:val="24"/>
        </w:rPr>
        <w:t>亮度调节功能：可调节配套使用的电子内窥镜上的LED灯的亮度</w:t>
      </w:r>
      <w:r>
        <w:rPr>
          <w:szCs w:val="24"/>
        </w:rPr>
        <w:t>。</w:t>
      </w:r>
    </w:p>
    <w:p>
      <w:pPr>
        <w:pStyle w:val="2"/>
        <w:spacing w:before="0" w:beforeAutospacing="0" w:after="0" w:afterAutospacing="0" w:line="420" w:lineRule="exact"/>
        <w:jc w:val="both"/>
        <w:rPr>
          <w:szCs w:val="24"/>
        </w:rPr>
      </w:pPr>
      <w:r>
        <w:rPr>
          <w:rFonts w:hint="eastAsia"/>
          <w:szCs w:val="24"/>
        </w:rPr>
        <w:t>1.1</w:t>
      </w:r>
      <w:r>
        <w:rPr>
          <w:szCs w:val="24"/>
        </w:rPr>
        <w:t>0</w:t>
      </w:r>
      <w:r>
        <w:rPr>
          <w:rFonts w:hint="eastAsia"/>
          <w:szCs w:val="24"/>
        </w:rPr>
        <w:t>白平衡功能：具有白平衡</w:t>
      </w:r>
      <w:r>
        <w:rPr>
          <w:szCs w:val="24"/>
        </w:rPr>
        <w:t>调节</w:t>
      </w:r>
      <w:r>
        <w:rPr>
          <w:rFonts w:hint="eastAsia"/>
          <w:szCs w:val="24"/>
        </w:rPr>
        <w:t>功能。</w:t>
      </w:r>
    </w:p>
    <w:p>
      <w:pPr>
        <w:pStyle w:val="2"/>
        <w:spacing w:before="0" w:beforeAutospacing="0" w:after="0" w:afterAutospacing="0" w:line="420" w:lineRule="exact"/>
        <w:jc w:val="both"/>
        <w:rPr>
          <w:szCs w:val="24"/>
        </w:rPr>
      </w:pPr>
      <w:r>
        <w:rPr>
          <w:rFonts w:hint="eastAsia"/>
          <w:szCs w:val="24"/>
        </w:rPr>
        <w:t>1.</w:t>
      </w:r>
      <w:r>
        <w:rPr>
          <w:szCs w:val="24"/>
        </w:rPr>
        <w:t>11</w:t>
      </w:r>
      <w:r>
        <w:rPr>
          <w:rFonts w:hint="eastAsia"/>
          <w:szCs w:val="24"/>
        </w:rPr>
        <w:t>录音录像功能：具备录像，录音功能，可以实现带音频录像的实时存储</w:t>
      </w:r>
      <w:r>
        <w:rPr>
          <w:szCs w:val="24"/>
        </w:rPr>
        <w:t>。</w:t>
      </w:r>
    </w:p>
    <w:p>
      <w:pPr>
        <w:pStyle w:val="2"/>
        <w:spacing w:before="0" w:beforeAutospacing="0" w:after="0" w:afterAutospacing="0" w:line="420" w:lineRule="exact"/>
        <w:jc w:val="both"/>
        <w:rPr>
          <w:szCs w:val="24"/>
        </w:rPr>
      </w:pPr>
      <w:r>
        <w:rPr>
          <w:szCs w:val="24"/>
        </w:rPr>
        <w:t>1</w:t>
      </w:r>
      <w:r>
        <w:rPr>
          <w:rFonts w:hint="eastAsia"/>
          <w:szCs w:val="24"/>
        </w:rPr>
        <w:t>.</w:t>
      </w:r>
      <w:r>
        <w:rPr>
          <w:szCs w:val="24"/>
        </w:rPr>
        <w:t>12</w:t>
      </w:r>
      <w:r>
        <w:rPr>
          <w:rFonts w:hint="eastAsia"/>
          <w:szCs w:val="24"/>
        </w:rPr>
        <w:t>存储功能</w:t>
      </w:r>
      <w:r>
        <w:rPr>
          <w:szCs w:val="24"/>
        </w:rPr>
        <w:t>：</w:t>
      </w:r>
      <w:r>
        <w:rPr>
          <w:rFonts w:hint="eastAsia"/>
          <w:szCs w:val="24"/>
        </w:rPr>
        <w:t>具有外置可热插拔64G SD存储卡直接存储图片及声音等信息</w:t>
      </w:r>
      <w:r>
        <w:rPr>
          <w:szCs w:val="24"/>
        </w:rPr>
        <w:t>，图片存储格式为JPG格式，视频存储格式为MP4格式。</w:t>
      </w:r>
    </w:p>
    <w:p>
      <w:pPr>
        <w:pStyle w:val="2"/>
        <w:spacing w:before="0" w:beforeAutospacing="0" w:after="0" w:afterAutospacing="0" w:line="420" w:lineRule="exact"/>
        <w:jc w:val="both"/>
        <w:rPr>
          <w:szCs w:val="24"/>
        </w:rPr>
      </w:pPr>
      <w:r>
        <w:rPr>
          <w:rFonts w:hint="eastAsia"/>
          <w:szCs w:val="24"/>
        </w:rPr>
        <w:t>1.</w:t>
      </w:r>
      <w:r>
        <w:rPr>
          <w:szCs w:val="24"/>
        </w:rPr>
        <w:t>13</w:t>
      </w:r>
      <w:r>
        <w:rPr>
          <w:rFonts w:hint="eastAsia"/>
          <w:szCs w:val="24"/>
        </w:rPr>
        <w:t>视频输出接口：具有CVBS视频输出接口和</w:t>
      </w:r>
      <w:r>
        <w:rPr>
          <w:szCs w:val="24"/>
        </w:rPr>
        <w:t>HDMI</w:t>
      </w:r>
      <w:r>
        <w:rPr>
          <w:rFonts w:hint="eastAsia"/>
          <w:szCs w:val="24"/>
        </w:rPr>
        <w:t>视频输出接口</w:t>
      </w:r>
      <w:r>
        <w:rPr>
          <w:szCs w:val="24"/>
        </w:rPr>
        <w:t>，</w:t>
      </w:r>
      <w:r>
        <w:rPr>
          <w:rFonts w:hint="eastAsia"/>
          <w:szCs w:val="24"/>
        </w:rPr>
        <w:t>可与医用显示器或工作站连接</w:t>
      </w:r>
      <w:r>
        <w:rPr>
          <w:szCs w:val="24"/>
        </w:rPr>
        <w:t>。</w:t>
      </w:r>
    </w:p>
    <w:p>
      <w:pPr>
        <w:pStyle w:val="2"/>
        <w:spacing w:before="0" w:beforeAutospacing="0" w:after="0" w:afterAutospacing="0" w:line="420" w:lineRule="exact"/>
        <w:jc w:val="both"/>
        <w:rPr>
          <w:szCs w:val="24"/>
        </w:rPr>
      </w:pPr>
      <w:r>
        <w:rPr>
          <w:rFonts w:hint="eastAsia"/>
          <w:szCs w:val="24"/>
        </w:rPr>
        <w:t>1.1</w:t>
      </w:r>
      <w:r>
        <w:rPr>
          <w:szCs w:val="24"/>
        </w:rPr>
        <w:t>4</w:t>
      </w:r>
      <w:r>
        <w:rPr>
          <w:rFonts w:hint="eastAsia"/>
          <w:szCs w:val="24"/>
        </w:rPr>
        <w:t>与内窥镜操作部连接方式：通过视频转接线与内窥镜手柄部直接相连，中间无需再通过连接手持式显示器即能实现视频操作，有效减轻产品重量方便临床使用</w:t>
      </w:r>
      <w:r>
        <w:rPr>
          <w:szCs w:val="24"/>
        </w:rPr>
        <w:t>。</w:t>
      </w:r>
    </w:p>
    <w:p>
      <w:pPr>
        <w:pStyle w:val="2"/>
        <w:spacing w:before="0" w:beforeAutospacing="0" w:after="0" w:afterAutospacing="0" w:line="420" w:lineRule="exact"/>
        <w:jc w:val="both"/>
        <w:rPr>
          <w:szCs w:val="24"/>
        </w:rPr>
      </w:pPr>
      <w:r>
        <w:rPr>
          <w:rFonts w:hint="eastAsia"/>
          <w:szCs w:val="24"/>
        </w:rPr>
        <w:t>1.1</w:t>
      </w:r>
      <w:r>
        <w:rPr>
          <w:szCs w:val="24"/>
        </w:rPr>
        <w:t>5</w:t>
      </w:r>
      <w:r>
        <w:rPr>
          <w:rFonts w:hint="eastAsia"/>
          <w:szCs w:val="24"/>
        </w:rPr>
        <w:t>视频转接线</w:t>
      </w:r>
      <w:r>
        <w:rPr>
          <w:szCs w:val="24"/>
        </w:rPr>
        <w:t>：</w:t>
      </w:r>
      <w:r>
        <w:rPr>
          <w:rFonts w:hint="eastAsia"/>
          <w:szCs w:val="24"/>
        </w:rPr>
        <w:t>线缆可</w:t>
      </w:r>
      <w:r>
        <w:rPr>
          <w:szCs w:val="24"/>
        </w:rPr>
        <w:t>180</w:t>
      </w:r>
      <w:r>
        <w:rPr>
          <w:rFonts w:hint="eastAsia"/>
          <w:szCs w:val="24"/>
        </w:rPr>
        <w:t>度旋转</w:t>
      </w:r>
      <w:r>
        <w:rPr>
          <w:szCs w:val="24"/>
        </w:rPr>
        <w:t>，</w:t>
      </w:r>
      <w:r>
        <w:rPr>
          <w:rFonts w:hint="eastAsia"/>
          <w:szCs w:val="24"/>
        </w:rPr>
        <w:t>操作更舒适</w:t>
      </w:r>
      <w:r>
        <w:rPr>
          <w:szCs w:val="24"/>
        </w:rPr>
        <w:t>。</w:t>
      </w:r>
    </w:p>
    <w:p>
      <w:pPr>
        <w:pStyle w:val="2"/>
        <w:spacing w:before="0" w:beforeAutospacing="0" w:after="0" w:afterAutospacing="0" w:line="420" w:lineRule="exact"/>
        <w:jc w:val="both"/>
        <w:rPr>
          <w:szCs w:val="24"/>
        </w:rPr>
      </w:pPr>
      <w:r>
        <w:rPr>
          <w:rFonts w:hint="eastAsia"/>
          <w:szCs w:val="24"/>
        </w:rPr>
        <w:t>1.1</w:t>
      </w:r>
      <w:r>
        <w:rPr>
          <w:szCs w:val="24"/>
        </w:rPr>
        <w:t>6</w:t>
      </w:r>
      <w:r>
        <w:rPr>
          <w:rFonts w:hint="eastAsia"/>
          <w:szCs w:val="24"/>
        </w:rPr>
        <w:t>录像显示及电量提示功能：具有摄录时间长短提示功能与循环摄录功能及电量智能检测指示标示（用于显示充电电量或适配器连接充电提示）</w:t>
      </w:r>
      <w:r>
        <w:rPr>
          <w:szCs w:val="24"/>
        </w:rPr>
        <w:t>。</w:t>
      </w:r>
    </w:p>
    <w:p>
      <w:pPr>
        <w:pStyle w:val="2"/>
        <w:spacing w:before="0" w:beforeAutospacing="0" w:after="0" w:afterAutospacing="0" w:line="420" w:lineRule="exact"/>
        <w:jc w:val="both"/>
        <w:rPr>
          <w:szCs w:val="24"/>
        </w:rPr>
      </w:pPr>
      <w:r>
        <w:rPr>
          <w:szCs w:val="24"/>
        </w:rPr>
        <w:t>1</w:t>
      </w:r>
      <w:r>
        <w:rPr>
          <w:rFonts w:hint="eastAsia"/>
          <w:szCs w:val="24"/>
        </w:rPr>
        <w:t>.</w:t>
      </w:r>
      <w:r>
        <w:rPr>
          <w:szCs w:val="24"/>
        </w:rPr>
        <w:t>17用户访问控制：</w:t>
      </w:r>
      <w:r>
        <w:rPr>
          <w:rFonts w:hint="eastAsia"/>
          <w:szCs w:val="24"/>
        </w:rPr>
        <w:t>可设置</w:t>
      </w:r>
      <w:r>
        <w:rPr>
          <w:szCs w:val="24"/>
        </w:rPr>
        <w:t>开机后输入管理用户的账号密码，输入正确可查看产品的实时图像</w:t>
      </w:r>
      <w:r>
        <w:rPr>
          <w:rFonts w:hint="eastAsia"/>
          <w:szCs w:val="24"/>
        </w:rPr>
        <w:t>及</w:t>
      </w:r>
      <w:r>
        <w:rPr>
          <w:szCs w:val="24"/>
        </w:rPr>
        <w:t xml:space="preserve">更改系统设置。 </w:t>
      </w:r>
      <w:bookmarkEnd w:id="3"/>
    </w:p>
    <w:p>
      <w:pPr>
        <w:pStyle w:val="2"/>
        <w:spacing w:before="0" w:beforeAutospacing="0" w:after="0" w:afterAutospacing="0" w:line="420" w:lineRule="exact"/>
        <w:jc w:val="both"/>
        <w:rPr>
          <w:szCs w:val="24"/>
        </w:rPr>
      </w:pPr>
      <w:r>
        <w:rPr>
          <w:rFonts w:hint="eastAsia"/>
          <w:szCs w:val="24"/>
        </w:rPr>
        <w:t>1.</w:t>
      </w:r>
      <w:r>
        <w:rPr>
          <w:szCs w:val="24"/>
        </w:rPr>
        <w:t>18</w:t>
      </w:r>
      <w:r>
        <w:rPr>
          <w:rFonts w:hint="eastAsia"/>
          <w:szCs w:val="24"/>
        </w:rPr>
        <w:t>供电方式：</w:t>
      </w:r>
    </w:p>
    <w:p>
      <w:pPr>
        <w:pStyle w:val="2"/>
        <w:spacing w:before="0" w:beforeAutospacing="0" w:after="0" w:afterAutospacing="0" w:line="420" w:lineRule="exact"/>
        <w:jc w:val="both"/>
        <w:rPr>
          <w:szCs w:val="24"/>
        </w:rPr>
      </w:pPr>
      <w:r>
        <w:rPr>
          <w:rFonts w:hint="eastAsia"/>
          <w:szCs w:val="24"/>
        </w:rPr>
        <w:t>（1）电池供电：具有内置可充电电池,一次</w:t>
      </w:r>
      <w:r>
        <w:rPr>
          <w:rFonts w:hint="eastAsia"/>
          <w:szCs w:val="24"/>
          <w:lang w:val="zh-CN"/>
        </w:rPr>
        <w:t>充满电的内部电源连续工作时间不小于4小时</w:t>
      </w:r>
      <w:r>
        <w:rPr>
          <w:szCs w:val="24"/>
        </w:rPr>
        <w:t>。</w:t>
      </w:r>
    </w:p>
    <w:p>
      <w:pPr>
        <w:pStyle w:val="2"/>
        <w:spacing w:before="0" w:beforeAutospacing="0" w:after="0" w:afterAutospacing="0" w:line="420" w:lineRule="exact"/>
        <w:jc w:val="both"/>
        <w:rPr>
          <w:szCs w:val="24"/>
        </w:rPr>
      </w:pPr>
      <w:r>
        <w:rPr>
          <w:rFonts w:hint="eastAsia"/>
          <w:szCs w:val="24"/>
        </w:rPr>
        <w:t>（2）交流电供电：可通过接入DC适配器连接交流电使用，可通过适配器实现24小时连续工作</w:t>
      </w:r>
      <w:r>
        <w:rPr>
          <w:szCs w:val="24"/>
        </w:rPr>
        <w:t>。</w:t>
      </w:r>
    </w:p>
    <w:p>
      <w:bookmarkStart w:id="4" w:name="_GoBack"/>
      <w:r>
        <w:rPr>
          <w:rFonts w:hint="eastAsia"/>
        </w:rPr>
        <w:t>评分标准</w:t>
      </w:r>
    </w:p>
    <w:bookmarkEnd w:id="4"/>
    <w:tbl>
      <w:tblPr>
        <w:tblStyle w:val="6"/>
        <w:tblpPr w:leftFromText="180" w:rightFromText="180" w:vertAnchor="text" w:horzAnchor="page" w:tblpX="1357" w:tblpY="498"/>
        <w:tblOverlap w:val="never"/>
        <w:tblW w:w="9600" w:type="dxa"/>
        <w:tblInd w:w="0" w:type="dxa"/>
        <w:tblLayout w:type="fixed"/>
        <w:tblCellMar>
          <w:top w:w="0" w:type="dxa"/>
          <w:left w:w="0" w:type="dxa"/>
          <w:bottom w:w="0" w:type="dxa"/>
          <w:right w:w="0" w:type="dxa"/>
        </w:tblCellMar>
      </w:tblPr>
      <w:tblGrid>
        <w:gridCol w:w="1325"/>
        <w:gridCol w:w="1592"/>
        <w:gridCol w:w="1020"/>
        <w:gridCol w:w="5663"/>
      </w:tblGrid>
      <w:tr>
        <w:tblPrEx>
          <w:tblLayout w:type="fixed"/>
          <w:tblCellMar>
            <w:top w:w="0" w:type="dxa"/>
            <w:left w:w="0" w:type="dxa"/>
            <w:bottom w:w="0" w:type="dxa"/>
            <w:right w:w="0" w:type="dxa"/>
          </w:tblCellMar>
        </w:tblPrEx>
        <w:trPr>
          <w:trHeight w:val="338" w:hRule="atLeast"/>
        </w:trPr>
        <w:tc>
          <w:tcPr>
            <w:tcW w:w="1325"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bottom"/>
          </w:tcPr>
          <w:p>
            <w:pPr>
              <w:widowControl/>
              <w:jc w:val="center"/>
              <w:textAlignment w:val="bottom"/>
              <w:rPr>
                <w:rFonts w:ascii="宋体" w:hAnsi="宋体"/>
                <w:b/>
                <w:bCs/>
              </w:rPr>
            </w:pPr>
            <w:r>
              <w:rPr>
                <w:rFonts w:hint="eastAsia" w:ascii="宋体" w:hAnsi="宋体" w:cs="宋体"/>
                <w:b/>
                <w:bCs/>
                <w:kern w:val="0"/>
              </w:rPr>
              <w:t>类别</w:t>
            </w:r>
          </w:p>
        </w:tc>
        <w:tc>
          <w:tcPr>
            <w:tcW w:w="159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bottom"/>
          </w:tcPr>
          <w:p>
            <w:pPr>
              <w:widowControl/>
              <w:jc w:val="center"/>
              <w:textAlignment w:val="bottom"/>
              <w:rPr>
                <w:rFonts w:ascii="宋体" w:hAnsi="宋体"/>
                <w:b/>
                <w:bCs/>
              </w:rPr>
            </w:pPr>
            <w:r>
              <w:rPr>
                <w:rFonts w:hint="eastAsia" w:ascii="宋体" w:hAnsi="宋体" w:cs="宋体"/>
                <w:b/>
                <w:bCs/>
                <w:kern w:val="0"/>
              </w:rPr>
              <w:t>评审项目</w:t>
            </w:r>
          </w:p>
        </w:tc>
        <w:tc>
          <w:tcPr>
            <w:tcW w:w="102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bottom"/>
          </w:tcPr>
          <w:p>
            <w:pPr>
              <w:widowControl/>
              <w:jc w:val="center"/>
              <w:textAlignment w:val="bottom"/>
              <w:rPr>
                <w:rFonts w:ascii="宋体" w:hAnsi="宋体"/>
                <w:b/>
                <w:bCs/>
              </w:rPr>
            </w:pPr>
            <w:r>
              <w:rPr>
                <w:rFonts w:hint="eastAsia" w:ascii="宋体" w:hAnsi="宋体" w:cs="宋体"/>
                <w:b/>
                <w:bCs/>
                <w:kern w:val="0"/>
              </w:rPr>
              <w:t>分值</w:t>
            </w:r>
          </w:p>
        </w:tc>
        <w:tc>
          <w:tcPr>
            <w:tcW w:w="5663"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bottom"/>
          </w:tcPr>
          <w:p>
            <w:pPr>
              <w:widowControl/>
              <w:ind w:firstLine="482"/>
              <w:jc w:val="center"/>
              <w:textAlignment w:val="bottom"/>
              <w:rPr>
                <w:rFonts w:ascii="宋体" w:hAnsi="宋体"/>
                <w:b/>
                <w:bCs/>
              </w:rPr>
            </w:pPr>
            <w:r>
              <w:rPr>
                <w:rFonts w:hint="eastAsia" w:ascii="宋体" w:hAnsi="宋体" w:cs="宋体"/>
                <w:b/>
                <w:bCs/>
                <w:kern w:val="0"/>
              </w:rPr>
              <w:t>评分标准</w:t>
            </w:r>
          </w:p>
        </w:tc>
      </w:tr>
      <w:tr>
        <w:tblPrEx>
          <w:tblLayout w:type="fixed"/>
          <w:tblCellMar>
            <w:top w:w="0" w:type="dxa"/>
            <w:left w:w="0" w:type="dxa"/>
            <w:bottom w:w="0" w:type="dxa"/>
            <w:right w:w="0" w:type="dxa"/>
          </w:tblCellMar>
        </w:tblPrEx>
        <w:trPr>
          <w:trHeight w:val="697" w:hRule="atLeast"/>
        </w:trPr>
        <w:tc>
          <w:tcPr>
            <w:tcW w:w="13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hAnsi="宋体"/>
                <w:b/>
                <w:bCs/>
              </w:rPr>
            </w:pPr>
            <w:r>
              <w:rPr>
                <w:rFonts w:hint="eastAsia" w:ascii="宋体" w:hAnsi="宋体" w:cs="宋体"/>
                <w:b/>
                <w:bCs/>
                <w:kern w:val="0"/>
              </w:rPr>
              <w:t>报价部分</w:t>
            </w:r>
            <w:r>
              <w:rPr>
                <w:rFonts w:hint="eastAsia" w:ascii="宋体" w:hAnsi="宋体" w:cs="宋体"/>
                <w:b/>
                <w:bCs/>
                <w:kern w:val="0"/>
              </w:rPr>
              <w:br w:type="textWrapping"/>
            </w:r>
            <w:r>
              <w:rPr>
                <w:rFonts w:hint="eastAsia" w:ascii="宋体" w:hAnsi="宋体" w:cs="宋体"/>
                <w:b/>
                <w:bCs/>
                <w:kern w:val="0"/>
              </w:rPr>
              <w:t>（30分）</w:t>
            </w:r>
          </w:p>
        </w:tc>
        <w:tc>
          <w:tcPr>
            <w:tcW w:w="159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rPr>
            </w:pPr>
            <w:r>
              <w:rPr>
                <w:rFonts w:hint="eastAsia" w:ascii="宋体" w:hAnsi="宋体" w:cs="宋体"/>
              </w:rPr>
              <w:t>磋商报价</w:t>
            </w:r>
          </w:p>
        </w:tc>
        <w:tc>
          <w:tcPr>
            <w:tcW w:w="102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rPr>
            </w:pPr>
            <w:r>
              <w:rPr>
                <w:rFonts w:hint="eastAsia" w:ascii="宋体" w:hAnsi="宋体" w:cs="宋体"/>
                <w:kern w:val="0"/>
              </w:rPr>
              <w:t>30</w:t>
            </w:r>
          </w:p>
        </w:tc>
        <w:tc>
          <w:tcPr>
            <w:tcW w:w="5663"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bottom"/>
          </w:tcPr>
          <w:p>
            <w:pPr>
              <w:widowControl/>
              <w:jc w:val="left"/>
              <w:textAlignment w:val="bottom"/>
              <w:rPr>
                <w:rFonts w:ascii="宋体" w:hAnsi="宋体"/>
              </w:rPr>
            </w:pPr>
            <w:r>
              <w:rPr>
                <w:rFonts w:hint="eastAsia" w:ascii="宋体" w:hAnsi="宋体" w:cs="宋体"/>
              </w:rPr>
              <w:t>得分公式=（磋商基准价/磋商报价）×0.3×100分，满足招标文件要求且投标价格最低的投标报价为评标基准价。</w:t>
            </w:r>
          </w:p>
        </w:tc>
      </w:tr>
      <w:tr>
        <w:tblPrEx>
          <w:tblLayout w:type="fixed"/>
          <w:tblCellMar>
            <w:top w:w="0" w:type="dxa"/>
            <w:left w:w="0" w:type="dxa"/>
            <w:bottom w:w="0" w:type="dxa"/>
            <w:right w:w="0" w:type="dxa"/>
          </w:tblCellMar>
        </w:tblPrEx>
        <w:trPr>
          <w:trHeight w:val="1007" w:hRule="atLeast"/>
        </w:trPr>
        <w:tc>
          <w:tcPr>
            <w:tcW w:w="1325" w:type="dxa"/>
            <w:vMerge w:val="restart"/>
            <w:tcBorders>
              <w:left w:val="single" w:color="000000" w:sz="4" w:space="0"/>
              <w:right w:val="single" w:color="000000" w:sz="4" w:space="0"/>
            </w:tcBorders>
            <w:vAlign w:val="center"/>
          </w:tcPr>
          <w:p>
            <w:pPr>
              <w:widowControl/>
              <w:rPr>
                <w:rFonts w:ascii="宋体" w:hAnsi="宋体"/>
                <w:b/>
                <w:bCs/>
              </w:rPr>
            </w:pPr>
            <w:r>
              <w:rPr>
                <w:rFonts w:hint="eastAsia" w:ascii="宋体" w:hAnsi="宋体" w:cs="宋体"/>
                <w:b/>
                <w:bCs/>
                <w:kern w:val="0"/>
              </w:rPr>
              <w:t>商务部分</w:t>
            </w:r>
            <w:r>
              <w:rPr>
                <w:rFonts w:hint="eastAsia" w:ascii="宋体" w:hAnsi="宋体" w:cs="宋体"/>
                <w:b/>
                <w:bCs/>
                <w:kern w:val="0"/>
              </w:rPr>
              <w:br w:type="textWrapping"/>
            </w:r>
            <w:r>
              <w:rPr>
                <w:rFonts w:hint="eastAsia" w:ascii="宋体" w:hAnsi="宋体" w:cs="宋体"/>
                <w:b/>
                <w:bCs/>
                <w:kern w:val="0"/>
              </w:rPr>
              <w:t>（ 12分）</w:t>
            </w:r>
          </w:p>
        </w:tc>
        <w:tc>
          <w:tcPr>
            <w:tcW w:w="159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rPr>
            </w:pPr>
            <w:r>
              <w:rPr>
                <w:rFonts w:hint="eastAsia" w:ascii="宋体" w:hAnsi="宋体" w:cs="宋体"/>
              </w:rPr>
              <w:t>项目负责人或委托人陈述</w:t>
            </w:r>
          </w:p>
        </w:tc>
        <w:tc>
          <w:tcPr>
            <w:tcW w:w="102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rPr>
            </w:pPr>
            <w:r>
              <w:rPr>
                <w:rFonts w:hint="eastAsia" w:ascii="宋体" w:hAnsi="宋体" w:cs="宋体"/>
              </w:rPr>
              <w:t>6</w:t>
            </w:r>
          </w:p>
        </w:tc>
        <w:tc>
          <w:tcPr>
            <w:tcW w:w="5663"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bottom"/>
          </w:tcPr>
          <w:p>
            <w:pPr>
              <w:widowControl/>
              <w:jc w:val="left"/>
              <w:textAlignment w:val="bottom"/>
              <w:rPr>
                <w:rFonts w:ascii="宋体" w:hAnsi="宋体"/>
              </w:rPr>
            </w:pPr>
            <w:r>
              <w:rPr>
                <w:rFonts w:hint="eastAsia" w:ascii="宋体" w:hAnsi="宋体" w:cs="宋体"/>
              </w:rPr>
              <w:t>项目负责人或委托人在进行磋商时能熟练讲述本项目实际情况及实施方案的得4-6分；基本了解的得1-3分；不能讲述本项目情况的不得分。</w:t>
            </w:r>
          </w:p>
        </w:tc>
      </w:tr>
      <w:tr>
        <w:tblPrEx>
          <w:tblLayout w:type="fixed"/>
          <w:tblCellMar>
            <w:top w:w="0" w:type="dxa"/>
            <w:left w:w="0" w:type="dxa"/>
            <w:bottom w:w="0" w:type="dxa"/>
            <w:right w:w="0" w:type="dxa"/>
          </w:tblCellMar>
        </w:tblPrEx>
        <w:trPr>
          <w:trHeight w:val="1007" w:hRule="atLeast"/>
        </w:trPr>
        <w:tc>
          <w:tcPr>
            <w:tcW w:w="1325" w:type="dxa"/>
            <w:vMerge w:val="continue"/>
            <w:tcBorders>
              <w:left w:val="single" w:color="000000" w:sz="4" w:space="0"/>
              <w:bottom w:val="single" w:color="000000" w:sz="4" w:space="0"/>
              <w:right w:val="single" w:color="000000" w:sz="4" w:space="0"/>
            </w:tcBorders>
            <w:vAlign w:val="center"/>
          </w:tcPr>
          <w:p>
            <w:pPr>
              <w:widowControl/>
              <w:ind w:firstLine="482"/>
              <w:jc w:val="center"/>
              <w:rPr>
                <w:rFonts w:ascii="宋体" w:hAnsi="宋体"/>
                <w:b/>
                <w:bCs/>
              </w:rPr>
            </w:pPr>
          </w:p>
        </w:tc>
        <w:tc>
          <w:tcPr>
            <w:tcW w:w="159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center"/>
              <w:rPr>
                <w:rFonts w:ascii="宋体" w:hAnsi="宋体" w:cs="宋体"/>
              </w:rPr>
            </w:pPr>
            <w:r>
              <w:rPr>
                <w:rFonts w:hint="eastAsia" w:ascii="宋体" w:hAnsi="宋体" w:cs="宋体"/>
              </w:rPr>
              <w:t>类似业绩</w:t>
            </w:r>
          </w:p>
        </w:tc>
        <w:tc>
          <w:tcPr>
            <w:tcW w:w="102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jc w:val="center"/>
              <w:rPr>
                <w:rFonts w:ascii="宋体" w:hAnsi="宋体" w:cs="宋体"/>
              </w:rPr>
            </w:pPr>
            <w:r>
              <w:rPr>
                <w:rFonts w:hint="eastAsia" w:ascii="宋体" w:hAnsi="宋体" w:cs="宋体"/>
              </w:rPr>
              <w:t>6</w:t>
            </w:r>
          </w:p>
        </w:tc>
        <w:tc>
          <w:tcPr>
            <w:tcW w:w="5663"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jc w:val="left"/>
              <w:rPr>
                <w:rFonts w:ascii="宋体" w:hAnsi="宋体" w:cs="宋体"/>
              </w:rPr>
            </w:pPr>
            <w:r>
              <w:rPr>
                <w:rFonts w:hint="eastAsia" w:ascii="宋体" w:hAnsi="宋体" w:cs="宋体"/>
              </w:rPr>
              <w:t>磋商响应商近四年（2020年至今）完成的同类别项目；提供一项得3分（提供项目中标通知书或货物采购合同复印件加盖公章）（最高分为6分）未提供不得分</w:t>
            </w:r>
          </w:p>
        </w:tc>
      </w:tr>
      <w:tr>
        <w:tblPrEx>
          <w:tblLayout w:type="fixed"/>
          <w:tblCellMar>
            <w:top w:w="0" w:type="dxa"/>
            <w:left w:w="0" w:type="dxa"/>
            <w:bottom w:w="0" w:type="dxa"/>
            <w:right w:w="0" w:type="dxa"/>
          </w:tblCellMar>
        </w:tblPrEx>
        <w:trPr>
          <w:trHeight w:val="1004" w:hRule="atLeast"/>
        </w:trPr>
        <w:tc>
          <w:tcPr>
            <w:tcW w:w="1325" w:type="dxa"/>
            <w:vMerge w:val="restart"/>
            <w:tcBorders>
              <w:top w:val="nil"/>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b/>
                <w:bCs/>
                <w:kern w:val="0"/>
              </w:rPr>
            </w:pPr>
            <w:r>
              <w:rPr>
                <w:rFonts w:hint="eastAsia" w:ascii="宋体" w:hAnsi="宋体" w:cs="宋体"/>
                <w:b/>
                <w:bCs/>
                <w:kern w:val="0"/>
              </w:rPr>
              <w:t>技术部分</w:t>
            </w:r>
          </w:p>
          <w:p>
            <w:pPr>
              <w:widowControl/>
              <w:jc w:val="center"/>
              <w:textAlignment w:val="center"/>
              <w:rPr>
                <w:rFonts w:ascii="宋体" w:hAnsi="宋体"/>
                <w:b/>
                <w:bCs/>
              </w:rPr>
            </w:pPr>
            <w:r>
              <w:rPr>
                <w:rFonts w:hint="eastAsia" w:ascii="宋体" w:hAnsi="宋体" w:cs="宋体"/>
                <w:b/>
                <w:bCs/>
                <w:kern w:val="0"/>
              </w:rPr>
              <w:t>（58分）</w:t>
            </w:r>
          </w:p>
        </w:tc>
        <w:tc>
          <w:tcPr>
            <w:tcW w:w="159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rPr>
            </w:pPr>
            <w:r>
              <w:rPr>
                <w:rFonts w:hint="eastAsia" w:ascii="宋体" w:hAnsi="宋体" w:cs="宋体"/>
                <w:kern w:val="0"/>
              </w:rPr>
              <w:t>技术参数</w:t>
            </w:r>
          </w:p>
        </w:tc>
        <w:tc>
          <w:tcPr>
            <w:tcW w:w="102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rPr>
            </w:pPr>
            <w:r>
              <w:rPr>
                <w:rFonts w:hint="eastAsia" w:ascii="宋体" w:hAnsi="宋体"/>
              </w:rPr>
              <w:t>40</w:t>
            </w:r>
          </w:p>
        </w:tc>
        <w:tc>
          <w:tcPr>
            <w:tcW w:w="5663"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bottom"/>
          </w:tcPr>
          <w:p>
            <w:pPr>
              <w:widowControl/>
              <w:jc w:val="left"/>
              <w:textAlignment w:val="bottom"/>
              <w:rPr>
                <w:rFonts w:ascii="宋体" w:hAnsi="宋体"/>
              </w:rPr>
            </w:pPr>
            <w:r>
              <w:rPr>
                <w:rFonts w:hint="eastAsia" w:ascii="宋体" w:hAnsi="宋体" w:cs="宋体"/>
              </w:rPr>
              <w:t>投标产品技术参数完全满足本项目招标文件要求的得40分，参数中 “▲”项为关键参数，一项不满足扣4分，不加“▲”项为一般技术参数，一条不满足扣2分，扣完为止。(提供相关证明资料）</w:t>
            </w:r>
          </w:p>
        </w:tc>
      </w:tr>
      <w:tr>
        <w:tblPrEx>
          <w:tblLayout w:type="fixed"/>
          <w:tblCellMar>
            <w:top w:w="0" w:type="dxa"/>
            <w:left w:w="0" w:type="dxa"/>
            <w:bottom w:w="0" w:type="dxa"/>
            <w:right w:w="0" w:type="dxa"/>
          </w:tblCellMar>
        </w:tblPrEx>
        <w:trPr>
          <w:trHeight w:val="700" w:hRule="atLeast"/>
        </w:trPr>
        <w:tc>
          <w:tcPr>
            <w:tcW w:w="1325" w:type="dxa"/>
            <w:vMerge w:val="continue"/>
            <w:tcBorders>
              <w:top w:val="nil"/>
              <w:left w:val="single" w:color="000000" w:sz="4" w:space="0"/>
              <w:bottom w:val="single" w:color="000000" w:sz="4" w:space="0"/>
              <w:right w:val="single" w:color="000000" w:sz="4" w:space="0"/>
            </w:tcBorders>
            <w:vAlign w:val="center"/>
          </w:tcPr>
          <w:p>
            <w:pPr>
              <w:widowControl/>
              <w:ind w:firstLine="482"/>
              <w:jc w:val="center"/>
              <w:rPr>
                <w:rFonts w:ascii="宋体" w:hAnsi="宋体"/>
                <w:b/>
                <w:bCs/>
              </w:rPr>
            </w:pPr>
          </w:p>
        </w:tc>
        <w:tc>
          <w:tcPr>
            <w:tcW w:w="159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kern w:val="0"/>
              </w:rPr>
            </w:pPr>
            <w:r>
              <w:rPr>
                <w:rFonts w:hint="eastAsia" w:ascii="宋体" w:hAnsi="宋体" w:cs="宋体"/>
                <w:kern w:val="0"/>
              </w:rPr>
              <w:t>供货方案及验收方案</w:t>
            </w:r>
          </w:p>
        </w:tc>
        <w:tc>
          <w:tcPr>
            <w:tcW w:w="102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Theme="minorEastAsia"/>
              </w:rPr>
            </w:pPr>
            <w:r>
              <w:rPr>
                <w:rFonts w:hint="eastAsia" w:ascii="宋体" w:hAnsi="宋体" w:cs="宋体"/>
              </w:rPr>
              <w:t>6</w:t>
            </w:r>
          </w:p>
        </w:tc>
        <w:tc>
          <w:tcPr>
            <w:tcW w:w="5663"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bottom"/>
          </w:tcPr>
          <w:p>
            <w:pPr>
              <w:adjustRightInd w:val="0"/>
              <w:snapToGrid w:val="0"/>
              <w:jc w:val="left"/>
              <w:rPr>
                <w:rFonts w:ascii="宋体" w:hAnsi="宋体" w:cs="宋体"/>
              </w:rPr>
            </w:pPr>
            <w:r>
              <w:rPr>
                <w:rFonts w:hint="eastAsia" w:ascii="宋体" w:hAnsi="宋体" w:cs="宋体"/>
                <w:kern w:val="0"/>
              </w:rPr>
              <w:t>1、根据各投标人</w:t>
            </w:r>
            <w:r>
              <w:rPr>
                <w:rFonts w:hint="eastAsia" w:ascii="宋体" w:hAnsi="宋体" w:cs="宋体"/>
              </w:rPr>
              <w:t>供货和运输及服务方案科学性、可靠性、合理性，供货响应时间等的及时性，综合评价：</w:t>
            </w:r>
          </w:p>
          <w:p>
            <w:pPr>
              <w:widowControl/>
              <w:jc w:val="left"/>
              <w:textAlignment w:val="bottom"/>
              <w:rPr>
                <w:rFonts w:ascii="宋体" w:hAnsi="宋体" w:cs="宋体"/>
                <w:kern w:val="0"/>
              </w:rPr>
            </w:pPr>
            <w:r>
              <w:rPr>
                <w:rFonts w:hint="eastAsia" w:ascii="宋体" w:hAnsi="宋体" w:cs="宋体"/>
                <w:kern w:val="0"/>
              </w:rPr>
              <w:t>（1）方案详细、具体的得3分</w:t>
            </w:r>
          </w:p>
          <w:p>
            <w:pPr>
              <w:widowControl/>
              <w:jc w:val="left"/>
              <w:textAlignment w:val="bottom"/>
              <w:rPr>
                <w:rFonts w:ascii="宋体" w:hAnsi="宋体" w:cs="宋体"/>
                <w:kern w:val="0"/>
              </w:rPr>
            </w:pPr>
            <w:r>
              <w:rPr>
                <w:rFonts w:hint="eastAsia" w:ascii="宋体" w:hAnsi="宋体" w:cs="宋体"/>
                <w:kern w:val="0"/>
              </w:rPr>
              <w:t>（2）方案合理、完整、可行得2</w:t>
            </w:r>
            <w:r>
              <w:rPr>
                <w:rFonts w:hint="eastAsia" w:ascii="宋体" w:hAnsi="宋体" w:cs="宋体"/>
              </w:rPr>
              <w:t>分</w:t>
            </w:r>
            <w:r>
              <w:rPr>
                <w:rFonts w:hint="eastAsia" w:ascii="宋体" w:hAnsi="宋体" w:cs="宋体"/>
                <w:kern w:val="0"/>
              </w:rPr>
              <w:t>；</w:t>
            </w:r>
          </w:p>
          <w:p>
            <w:pPr>
              <w:widowControl/>
              <w:jc w:val="left"/>
              <w:textAlignment w:val="bottom"/>
              <w:rPr>
                <w:rFonts w:ascii="宋体" w:hAnsi="宋体" w:cs="宋体"/>
                <w:kern w:val="0"/>
              </w:rPr>
            </w:pPr>
            <w:r>
              <w:rPr>
                <w:rFonts w:hint="eastAsia" w:ascii="宋体" w:hAnsi="宋体" w:cs="宋体"/>
                <w:kern w:val="0"/>
              </w:rPr>
              <w:t>（3）方案部分可行1分；</w:t>
            </w:r>
          </w:p>
          <w:p>
            <w:pPr>
              <w:widowControl/>
              <w:jc w:val="left"/>
              <w:textAlignment w:val="bottom"/>
              <w:rPr>
                <w:rFonts w:ascii="宋体" w:hAnsi="宋体" w:cs="宋体"/>
                <w:kern w:val="0"/>
              </w:rPr>
            </w:pPr>
            <w:r>
              <w:rPr>
                <w:rFonts w:hint="eastAsia" w:ascii="宋体" w:hAnsi="宋体" w:cs="宋体"/>
                <w:kern w:val="0"/>
              </w:rPr>
              <w:t>（4）方案不可行或未提供不得分。</w:t>
            </w:r>
          </w:p>
          <w:p>
            <w:pPr>
              <w:adjustRightInd w:val="0"/>
              <w:snapToGrid w:val="0"/>
              <w:jc w:val="left"/>
              <w:rPr>
                <w:rFonts w:ascii="宋体" w:hAnsi="宋体" w:cs="宋体"/>
              </w:rPr>
            </w:pPr>
            <w:r>
              <w:rPr>
                <w:rFonts w:hint="eastAsia" w:ascii="宋体" w:hAnsi="宋体" w:cs="宋体"/>
                <w:kern w:val="0"/>
              </w:rPr>
              <w:t>2、根据各投标人验收方案</w:t>
            </w:r>
            <w:r>
              <w:rPr>
                <w:rFonts w:hint="eastAsia" w:ascii="宋体" w:hAnsi="宋体" w:cs="宋体"/>
              </w:rPr>
              <w:t>科学性、可靠性、合理性，综合评价：</w:t>
            </w:r>
          </w:p>
          <w:p>
            <w:pPr>
              <w:widowControl/>
              <w:jc w:val="left"/>
              <w:textAlignment w:val="bottom"/>
            </w:pPr>
            <w:r>
              <w:rPr>
                <w:rFonts w:hint="eastAsia" w:ascii="宋体" w:hAnsi="宋体" w:cs="宋体"/>
                <w:kern w:val="0"/>
              </w:rPr>
              <w:t>（1）方案详细、具体的得3分</w:t>
            </w:r>
          </w:p>
          <w:p>
            <w:pPr>
              <w:widowControl/>
              <w:jc w:val="left"/>
              <w:textAlignment w:val="bottom"/>
              <w:rPr>
                <w:rFonts w:ascii="宋体" w:hAnsi="宋体" w:cs="宋体"/>
                <w:kern w:val="0"/>
              </w:rPr>
            </w:pPr>
            <w:r>
              <w:rPr>
                <w:rFonts w:hint="eastAsia" w:ascii="宋体" w:hAnsi="宋体" w:cs="宋体"/>
                <w:kern w:val="0"/>
              </w:rPr>
              <w:t>（2）方案合理、完整、可行得2</w:t>
            </w:r>
            <w:r>
              <w:rPr>
                <w:rFonts w:hint="eastAsia" w:ascii="宋体" w:hAnsi="宋体" w:cs="宋体"/>
              </w:rPr>
              <w:t>分</w:t>
            </w:r>
            <w:r>
              <w:rPr>
                <w:rFonts w:hint="eastAsia" w:ascii="宋体" w:hAnsi="宋体" w:cs="宋体"/>
                <w:kern w:val="0"/>
              </w:rPr>
              <w:t>；</w:t>
            </w:r>
          </w:p>
          <w:p>
            <w:pPr>
              <w:widowControl/>
              <w:jc w:val="left"/>
              <w:textAlignment w:val="bottom"/>
              <w:rPr>
                <w:rFonts w:ascii="宋体" w:hAnsi="宋体" w:cs="宋体"/>
                <w:kern w:val="0"/>
              </w:rPr>
            </w:pPr>
            <w:r>
              <w:rPr>
                <w:rFonts w:hint="eastAsia" w:ascii="宋体" w:hAnsi="宋体" w:cs="宋体"/>
                <w:kern w:val="0"/>
              </w:rPr>
              <w:t>（3）方案部分可行1分；</w:t>
            </w:r>
          </w:p>
          <w:p>
            <w:pPr>
              <w:widowControl/>
              <w:jc w:val="left"/>
              <w:textAlignment w:val="bottom"/>
            </w:pPr>
            <w:r>
              <w:rPr>
                <w:rFonts w:hint="eastAsia" w:ascii="宋体" w:hAnsi="宋体" w:cs="宋体"/>
                <w:kern w:val="0"/>
              </w:rPr>
              <w:t>（4）方案不可行或未提供不得分。</w:t>
            </w:r>
          </w:p>
          <w:p>
            <w:pPr>
              <w:pStyle w:val="3"/>
              <w:ind w:firstLine="480"/>
            </w:pPr>
          </w:p>
        </w:tc>
      </w:tr>
      <w:tr>
        <w:tblPrEx>
          <w:tblLayout w:type="fixed"/>
          <w:tblCellMar>
            <w:top w:w="0" w:type="dxa"/>
            <w:left w:w="0" w:type="dxa"/>
            <w:bottom w:w="0" w:type="dxa"/>
            <w:right w:w="0" w:type="dxa"/>
          </w:tblCellMar>
        </w:tblPrEx>
        <w:trPr>
          <w:trHeight w:val="1581" w:hRule="atLeast"/>
        </w:trPr>
        <w:tc>
          <w:tcPr>
            <w:tcW w:w="1325" w:type="dxa"/>
            <w:vMerge w:val="continue"/>
            <w:tcBorders>
              <w:top w:val="nil"/>
              <w:left w:val="single" w:color="000000" w:sz="4" w:space="0"/>
              <w:bottom w:val="single" w:color="000000" w:sz="4" w:space="0"/>
              <w:right w:val="single" w:color="000000" w:sz="4" w:space="0"/>
            </w:tcBorders>
            <w:vAlign w:val="center"/>
          </w:tcPr>
          <w:p>
            <w:pPr>
              <w:widowControl/>
              <w:ind w:firstLine="482"/>
              <w:jc w:val="center"/>
              <w:rPr>
                <w:rFonts w:ascii="宋体" w:hAnsi="宋体"/>
                <w:b/>
                <w:bCs/>
              </w:rPr>
            </w:pPr>
          </w:p>
        </w:tc>
        <w:tc>
          <w:tcPr>
            <w:tcW w:w="159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kern w:val="0"/>
              </w:rPr>
            </w:pPr>
            <w:r>
              <w:rPr>
                <w:rFonts w:hint="eastAsia" w:ascii="宋体" w:hAnsi="宋体" w:cs="宋体"/>
              </w:rPr>
              <w:t>质量保证措施</w:t>
            </w:r>
          </w:p>
        </w:tc>
        <w:tc>
          <w:tcPr>
            <w:tcW w:w="102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Theme="minorEastAsia"/>
              </w:rPr>
            </w:pPr>
            <w:r>
              <w:rPr>
                <w:rFonts w:hint="eastAsia" w:ascii="宋体" w:hAnsi="宋体" w:cs="宋体"/>
              </w:rPr>
              <w:t>3</w:t>
            </w:r>
          </w:p>
        </w:tc>
        <w:tc>
          <w:tcPr>
            <w:tcW w:w="5663"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bottom"/>
          </w:tcPr>
          <w:p>
            <w:pPr>
              <w:widowControl/>
              <w:jc w:val="left"/>
              <w:rPr>
                <w:rFonts w:ascii="宋体" w:hAnsi="宋体" w:cs="宋体"/>
              </w:rPr>
            </w:pPr>
            <w:r>
              <w:rPr>
                <w:rFonts w:hint="eastAsia" w:ascii="宋体" w:hAnsi="宋体" w:cs="宋体"/>
              </w:rPr>
              <w:t>根据投标人提供的质量保证措施进行评价：</w:t>
            </w:r>
          </w:p>
          <w:p>
            <w:pPr>
              <w:widowControl/>
              <w:numPr>
                <w:ilvl w:val="0"/>
                <w:numId w:val="2"/>
              </w:numPr>
              <w:jc w:val="left"/>
              <w:textAlignment w:val="bottom"/>
              <w:rPr>
                <w:rFonts w:ascii="宋体" w:hAnsi="宋体" w:cs="宋体"/>
              </w:rPr>
            </w:pPr>
            <w:r>
              <w:rPr>
                <w:rFonts w:hint="eastAsia" w:ascii="宋体" w:hAnsi="宋体" w:cs="宋体"/>
              </w:rPr>
              <w:t>措施内容详细、全面、合理且切实可行的得3分；</w:t>
            </w:r>
          </w:p>
          <w:p>
            <w:pPr>
              <w:widowControl/>
              <w:numPr>
                <w:ilvl w:val="0"/>
                <w:numId w:val="2"/>
              </w:numPr>
              <w:jc w:val="left"/>
              <w:textAlignment w:val="bottom"/>
              <w:rPr>
                <w:rFonts w:ascii="宋体" w:hAnsi="宋体"/>
              </w:rPr>
            </w:pPr>
            <w:r>
              <w:rPr>
                <w:rFonts w:hint="eastAsia" w:ascii="宋体" w:hAnsi="宋体" w:cs="宋体"/>
              </w:rPr>
              <w:t>措施内容可基本项目要求的得2分；</w:t>
            </w:r>
          </w:p>
          <w:p>
            <w:pPr>
              <w:widowControl/>
              <w:numPr>
                <w:ilvl w:val="0"/>
                <w:numId w:val="2"/>
              </w:numPr>
              <w:jc w:val="left"/>
              <w:textAlignment w:val="bottom"/>
              <w:rPr>
                <w:rFonts w:ascii="宋体" w:hAnsi="宋体"/>
              </w:rPr>
            </w:pPr>
            <w:r>
              <w:rPr>
                <w:rFonts w:hint="eastAsia" w:ascii="宋体" w:hAnsi="宋体" w:cs="宋体"/>
              </w:rPr>
              <w:t>措施内容有缺陷或无法保障项目要求的得1分；</w:t>
            </w:r>
          </w:p>
          <w:p>
            <w:pPr>
              <w:widowControl/>
              <w:numPr>
                <w:ilvl w:val="0"/>
                <w:numId w:val="2"/>
              </w:numPr>
              <w:jc w:val="left"/>
              <w:textAlignment w:val="bottom"/>
              <w:rPr>
                <w:rFonts w:ascii="宋体" w:hAnsi="宋体"/>
              </w:rPr>
            </w:pPr>
            <w:r>
              <w:rPr>
                <w:rFonts w:hint="eastAsia" w:ascii="宋体" w:hAnsi="宋体" w:cs="宋体"/>
              </w:rPr>
              <w:t>未提供不得分。</w:t>
            </w:r>
          </w:p>
        </w:tc>
      </w:tr>
      <w:tr>
        <w:tblPrEx>
          <w:tblLayout w:type="fixed"/>
          <w:tblCellMar>
            <w:top w:w="0" w:type="dxa"/>
            <w:left w:w="0" w:type="dxa"/>
            <w:bottom w:w="0" w:type="dxa"/>
            <w:right w:w="0" w:type="dxa"/>
          </w:tblCellMar>
        </w:tblPrEx>
        <w:trPr>
          <w:trHeight w:val="2244" w:hRule="atLeast"/>
        </w:trPr>
        <w:tc>
          <w:tcPr>
            <w:tcW w:w="1325" w:type="dxa"/>
            <w:vMerge w:val="continue"/>
            <w:tcBorders>
              <w:top w:val="nil"/>
              <w:left w:val="single" w:color="000000" w:sz="4" w:space="0"/>
              <w:bottom w:val="single" w:color="000000" w:sz="4" w:space="0"/>
              <w:right w:val="single" w:color="000000" w:sz="4" w:space="0"/>
            </w:tcBorders>
            <w:vAlign w:val="center"/>
          </w:tcPr>
          <w:p>
            <w:pPr>
              <w:widowControl/>
              <w:ind w:firstLine="482"/>
              <w:jc w:val="center"/>
              <w:rPr>
                <w:rFonts w:ascii="宋体" w:hAnsi="宋体"/>
                <w:b/>
                <w:bCs/>
              </w:rPr>
            </w:pPr>
          </w:p>
        </w:tc>
        <w:tc>
          <w:tcPr>
            <w:tcW w:w="159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rPr>
            </w:pPr>
            <w:r>
              <w:rPr>
                <w:rFonts w:hint="eastAsia" w:ascii="宋体" w:hAnsi="宋体" w:cs="宋体"/>
              </w:rPr>
              <w:t>培训计划</w:t>
            </w:r>
          </w:p>
        </w:tc>
        <w:tc>
          <w:tcPr>
            <w:tcW w:w="102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rPr>
            </w:pPr>
            <w:r>
              <w:rPr>
                <w:rFonts w:hint="eastAsia" w:ascii="宋体" w:hAnsi="宋体" w:cs="宋体"/>
              </w:rPr>
              <w:t>3</w:t>
            </w:r>
          </w:p>
        </w:tc>
        <w:tc>
          <w:tcPr>
            <w:tcW w:w="5663"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bottom"/>
          </w:tcPr>
          <w:p>
            <w:pPr>
              <w:widowControl/>
              <w:jc w:val="left"/>
              <w:rPr>
                <w:rFonts w:ascii="宋体" w:hAnsi="宋体" w:cs="宋体"/>
                <w:kern w:val="0"/>
              </w:rPr>
            </w:pPr>
            <w:r>
              <w:rPr>
                <w:rFonts w:hint="eastAsia" w:ascii="宋体" w:hAnsi="宋体" w:cs="宋体"/>
              </w:rPr>
              <w:t>根据投标人</w:t>
            </w:r>
            <w:r>
              <w:rPr>
                <w:rFonts w:hint="eastAsia" w:ascii="宋体" w:hAnsi="宋体" w:cs="宋体"/>
                <w:kern w:val="0"/>
              </w:rPr>
              <w:t>提供的培训方案进行评价：</w:t>
            </w:r>
          </w:p>
          <w:p>
            <w:pPr>
              <w:widowControl/>
              <w:jc w:val="left"/>
              <w:rPr>
                <w:rFonts w:ascii="宋体" w:hAnsi="宋体" w:cs="宋体"/>
                <w:kern w:val="0"/>
              </w:rPr>
            </w:pPr>
            <w:r>
              <w:rPr>
                <w:rFonts w:hint="eastAsia" w:ascii="宋体" w:hAnsi="宋体" w:cs="宋体"/>
                <w:kern w:val="0"/>
              </w:rPr>
              <w:t>1、培训方案内容丰富，培训分工明确，计划安排合理可行，得3分；</w:t>
            </w:r>
          </w:p>
          <w:p>
            <w:pPr>
              <w:widowControl/>
              <w:jc w:val="left"/>
              <w:rPr>
                <w:rFonts w:ascii="宋体" w:hAnsi="宋体" w:cs="宋体"/>
                <w:kern w:val="0"/>
              </w:rPr>
            </w:pPr>
            <w:r>
              <w:rPr>
                <w:rFonts w:hint="eastAsia" w:ascii="宋体" w:hAnsi="宋体" w:cs="宋体"/>
                <w:kern w:val="0"/>
              </w:rPr>
              <w:t>2、培训方案内容较丰富，培训分工较明确，计划及安排较合理得2分；</w:t>
            </w:r>
          </w:p>
          <w:p>
            <w:pPr>
              <w:widowControl/>
              <w:jc w:val="left"/>
              <w:rPr>
                <w:rFonts w:ascii="宋体" w:hAnsi="宋体" w:cs="宋体"/>
                <w:kern w:val="0"/>
              </w:rPr>
            </w:pPr>
            <w:r>
              <w:rPr>
                <w:rFonts w:hint="eastAsia" w:ascii="宋体" w:hAnsi="宋体" w:cs="宋体"/>
                <w:kern w:val="0"/>
              </w:rPr>
              <w:t>3、培训内容单调，角色培训分工不明确，或计划及安排不合理的得1分；</w:t>
            </w:r>
          </w:p>
          <w:p>
            <w:pPr>
              <w:widowControl/>
              <w:jc w:val="left"/>
              <w:rPr>
                <w:rFonts w:ascii="宋体" w:hAnsi="宋体" w:cs="宋体"/>
                <w:kern w:val="0"/>
              </w:rPr>
            </w:pPr>
            <w:r>
              <w:rPr>
                <w:rFonts w:hint="eastAsia" w:ascii="宋体" w:hAnsi="宋体" w:cs="宋体"/>
                <w:kern w:val="0"/>
              </w:rPr>
              <w:t>4、没有不得分。</w:t>
            </w:r>
          </w:p>
        </w:tc>
      </w:tr>
      <w:tr>
        <w:tblPrEx>
          <w:tblLayout w:type="fixed"/>
          <w:tblCellMar>
            <w:top w:w="0" w:type="dxa"/>
            <w:left w:w="0" w:type="dxa"/>
            <w:bottom w:w="0" w:type="dxa"/>
            <w:right w:w="0" w:type="dxa"/>
          </w:tblCellMar>
        </w:tblPrEx>
        <w:trPr>
          <w:trHeight w:val="1904" w:hRule="atLeast"/>
        </w:trPr>
        <w:tc>
          <w:tcPr>
            <w:tcW w:w="1325" w:type="dxa"/>
            <w:vMerge w:val="continue"/>
            <w:tcBorders>
              <w:top w:val="nil"/>
              <w:left w:val="single" w:color="000000" w:sz="4" w:space="0"/>
              <w:bottom w:val="nil"/>
              <w:right w:val="single" w:color="000000" w:sz="4" w:space="0"/>
            </w:tcBorders>
            <w:vAlign w:val="center"/>
          </w:tcPr>
          <w:p>
            <w:pPr>
              <w:widowControl/>
              <w:ind w:firstLine="482"/>
              <w:jc w:val="center"/>
              <w:rPr>
                <w:rFonts w:ascii="宋体" w:hAnsi="宋体"/>
                <w:b/>
                <w:bCs/>
              </w:rPr>
            </w:pPr>
          </w:p>
        </w:tc>
        <w:tc>
          <w:tcPr>
            <w:tcW w:w="159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rPr>
            </w:pPr>
            <w:r>
              <w:rPr>
                <w:rFonts w:hint="eastAsia" w:ascii="宋体" w:hAnsi="宋体" w:cs="宋体"/>
                <w:kern w:val="0"/>
              </w:rPr>
              <w:t>售后服务</w:t>
            </w:r>
          </w:p>
        </w:tc>
        <w:tc>
          <w:tcPr>
            <w:tcW w:w="102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Theme="minorEastAsia"/>
              </w:rPr>
            </w:pPr>
            <w:r>
              <w:rPr>
                <w:rFonts w:hint="eastAsia" w:ascii="宋体" w:hAnsi="宋体" w:cs="宋体"/>
              </w:rPr>
              <w:t>3</w:t>
            </w:r>
          </w:p>
        </w:tc>
        <w:tc>
          <w:tcPr>
            <w:tcW w:w="5663"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bottom"/>
          </w:tcPr>
          <w:p>
            <w:pPr>
              <w:widowControl/>
              <w:jc w:val="left"/>
              <w:textAlignment w:val="center"/>
              <w:rPr>
                <w:rFonts w:ascii="宋体" w:hAnsi="宋体" w:cs="宋体"/>
                <w:bCs/>
                <w:spacing w:val="-6"/>
                <w:kern w:val="0"/>
              </w:rPr>
            </w:pPr>
            <w:r>
              <w:rPr>
                <w:rFonts w:hint="eastAsia" w:ascii="宋体" w:hAnsi="宋体" w:cs="宋体"/>
              </w:rPr>
              <w:t>根据各投标人对本项目的售后服务</w:t>
            </w:r>
            <w:r>
              <w:rPr>
                <w:rFonts w:hint="eastAsia" w:ascii="宋体" w:hAnsi="宋体" w:cs="宋体"/>
                <w:bCs/>
                <w:spacing w:val="-6"/>
                <w:kern w:val="0"/>
              </w:rPr>
              <w:t>方案、售后保障措施、</w:t>
            </w:r>
            <w:r>
              <w:rPr>
                <w:rFonts w:hint="eastAsia" w:ascii="宋体" w:hAnsi="宋体" w:cs="宋体"/>
              </w:rPr>
              <w:t>售后服务机构设置、人员配备</w:t>
            </w:r>
            <w:r>
              <w:rPr>
                <w:rFonts w:hint="eastAsia" w:ascii="宋体" w:hAnsi="宋体" w:cs="宋体"/>
                <w:bCs/>
                <w:spacing w:val="-6"/>
                <w:kern w:val="0"/>
              </w:rPr>
              <w:t>、响应时间、技术支持等内容进行评分：</w:t>
            </w:r>
          </w:p>
          <w:p>
            <w:pPr>
              <w:widowControl/>
              <w:jc w:val="left"/>
              <w:textAlignment w:val="center"/>
              <w:rPr>
                <w:rFonts w:ascii="宋体" w:hAnsi="宋体" w:cs="宋体"/>
                <w:kern w:val="0"/>
              </w:rPr>
            </w:pPr>
            <w:r>
              <w:rPr>
                <w:rFonts w:hint="eastAsia" w:ascii="宋体" w:hAnsi="宋体" w:cs="宋体"/>
                <w:kern w:val="0"/>
              </w:rPr>
              <w:t>1、内容详细、具体的得3分；</w:t>
            </w:r>
          </w:p>
          <w:p>
            <w:pPr>
              <w:widowControl/>
              <w:jc w:val="left"/>
              <w:textAlignment w:val="center"/>
              <w:rPr>
                <w:rFonts w:ascii="宋体" w:hAnsi="宋体" w:cs="宋体"/>
                <w:kern w:val="0"/>
              </w:rPr>
            </w:pPr>
            <w:r>
              <w:rPr>
                <w:rFonts w:hint="eastAsia" w:ascii="宋体" w:hAnsi="宋体" w:cs="宋体"/>
                <w:kern w:val="0"/>
              </w:rPr>
              <w:t>2、内容基本完整、有具体措施但部分描述不详细的得2分；</w:t>
            </w:r>
          </w:p>
          <w:p>
            <w:pPr>
              <w:widowControl/>
              <w:jc w:val="left"/>
              <w:textAlignment w:val="center"/>
              <w:rPr>
                <w:rFonts w:ascii="宋体" w:hAnsi="宋体" w:cs="宋体"/>
                <w:kern w:val="0"/>
              </w:rPr>
            </w:pPr>
            <w:r>
              <w:rPr>
                <w:rFonts w:hint="eastAsia" w:ascii="宋体" w:hAnsi="宋体" w:cs="宋体"/>
                <w:kern w:val="0"/>
              </w:rPr>
              <w:t>3、内容不完整，但基本合理得1分；</w:t>
            </w:r>
          </w:p>
          <w:p>
            <w:pPr>
              <w:widowControl/>
              <w:jc w:val="left"/>
              <w:textAlignment w:val="bottom"/>
              <w:rPr>
                <w:rFonts w:ascii="宋体" w:hAnsi="宋体"/>
              </w:rPr>
            </w:pPr>
            <w:r>
              <w:rPr>
                <w:rFonts w:hint="eastAsia" w:ascii="宋体" w:hAnsi="宋体" w:cs="宋体"/>
                <w:kern w:val="0"/>
              </w:rPr>
              <w:t>4、没有不得分。</w:t>
            </w:r>
          </w:p>
        </w:tc>
      </w:tr>
      <w:tr>
        <w:tblPrEx>
          <w:tblLayout w:type="fixed"/>
          <w:tblCellMar>
            <w:top w:w="0" w:type="dxa"/>
            <w:left w:w="0" w:type="dxa"/>
            <w:bottom w:w="0" w:type="dxa"/>
            <w:right w:w="0" w:type="dxa"/>
          </w:tblCellMar>
        </w:tblPrEx>
        <w:trPr>
          <w:trHeight w:val="1904" w:hRule="atLeast"/>
        </w:trPr>
        <w:tc>
          <w:tcPr>
            <w:tcW w:w="1325" w:type="dxa"/>
            <w:tcBorders>
              <w:top w:val="nil"/>
              <w:left w:val="single" w:color="000000" w:sz="4" w:space="0"/>
              <w:bottom w:val="single" w:color="000000" w:sz="4" w:space="0"/>
              <w:right w:val="single" w:color="000000" w:sz="4" w:space="0"/>
            </w:tcBorders>
            <w:vAlign w:val="center"/>
          </w:tcPr>
          <w:p>
            <w:pPr>
              <w:widowControl/>
              <w:ind w:firstLine="482"/>
              <w:jc w:val="center"/>
              <w:rPr>
                <w:rFonts w:ascii="宋体" w:hAnsi="宋体"/>
                <w:b/>
                <w:bCs/>
              </w:rPr>
            </w:pPr>
          </w:p>
        </w:tc>
        <w:tc>
          <w:tcPr>
            <w:tcW w:w="1592"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spacing w:line="360" w:lineRule="auto"/>
              <w:jc w:val="center"/>
              <w:rPr>
                <w:rFonts w:ascii="宋体" w:hAnsi="宋体" w:cs="宋体"/>
              </w:rPr>
            </w:pPr>
            <w:r>
              <w:rPr>
                <w:rFonts w:hint="eastAsia" w:ascii="宋体" w:hAnsi="宋体" w:cs="宋体"/>
              </w:rPr>
              <w:t>应急需求</w:t>
            </w:r>
          </w:p>
          <w:p>
            <w:pPr>
              <w:spacing w:line="360" w:lineRule="auto"/>
              <w:jc w:val="center"/>
              <w:rPr>
                <w:rFonts w:ascii="宋体" w:hAnsi="宋体" w:cs="宋体"/>
              </w:rPr>
            </w:pPr>
            <w:r>
              <w:rPr>
                <w:rFonts w:hint="eastAsia" w:ascii="宋体" w:hAnsi="宋体" w:cs="宋体"/>
              </w:rPr>
              <w:t>响应方案</w:t>
            </w:r>
          </w:p>
        </w:tc>
        <w:tc>
          <w:tcPr>
            <w:tcW w:w="102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spacing w:line="360" w:lineRule="auto"/>
              <w:ind w:firstLine="480"/>
              <w:rPr>
                <w:rFonts w:ascii="宋体" w:hAnsi="宋体" w:cs="宋体"/>
                <w:kern w:val="0"/>
              </w:rPr>
            </w:pPr>
            <w:r>
              <w:rPr>
                <w:rFonts w:hint="eastAsia" w:ascii="宋体" w:hAnsi="宋体" w:cs="宋体"/>
              </w:rPr>
              <w:t>3</w:t>
            </w:r>
          </w:p>
        </w:tc>
        <w:tc>
          <w:tcPr>
            <w:tcW w:w="5663" w:type="dxa"/>
            <w:tcBorders>
              <w:top w:val="single" w:color="000000" w:sz="4" w:space="0"/>
              <w:left w:val="nil"/>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hAnsi="宋体" w:cs="宋体"/>
                <w:kern w:val="0"/>
              </w:rPr>
            </w:pPr>
            <w:r>
              <w:rPr>
                <w:rFonts w:hint="eastAsia" w:ascii="宋体" w:hAnsi="宋体" w:cs="宋体"/>
                <w:kern w:val="0"/>
              </w:rPr>
              <w:t>根据投标人提供应急需求响应方案的科学性、有效性和应急响应的及时性进行评分</w:t>
            </w:r>
          </w:p>
          <w:p>
            <w:pPr>
              <w:widowControl/>
              <w:jc w:val="left"/>
              <w:textAlignment w:val="center"/>
              <w:rPr>
                <w:rFonts w:ascii="宋体" w:hAnsi="宋体" w:cs="宋体"/>
                <w:kern w:val="0"/>
              </w:rPr>
            </w:pPr>
            <w:r>
              <w:rPr>
                <w:rFonts w:hint="eastAsia" w:ascii="宋体" w:hAnsi="宋体" w:cs="宋体"/>
                <w:kern w:val="0"/>
              </w:rPr>
              <w:t>1、承诺、措施内容详细、全面、切实可行得3分；</w:t>
            </w:r>
          </w:p>
          <w:p>
            <w:pPr>
              <w:widowControl/>
              <w:jc w:val="left"/>
              <w:textAlignment w:val="center"/>
              <w:rPr>
                <w:rFonts w:ascii="宋体" w:hAnsi="宋体" w:cs="宋体"/>
                <w:kern w:val="0"/>
              </w:rPr>
            </w:pPr>
            <w:r>
              <w:rPr>
                <w:rFonts w:hint="eastAsia" w:ascii="宋体" w:hAnsi="宋体" w:cs="宋体"/>
                <w:kern w:val="0"/>
              </w:rPr>
              <w:t>2、承诺、措施略有瑕疵，总体可行的得2分；</w:t>
            </w:r>
          </w:p>
          <w:p>
            <w:pPr>
              <w:widowControl/>
              <w:jc w:val="left"/>
              <w:textAlignment w:val="center"/>
              <w:rPr>
                <w:rFonts w:ascii="宋体" w:hAnsi="宋体" w:cs="宋体"/>
                <w:kern w:val="0"/>
              </w:rPr>
            </w:pPr>
            <w:r>
              <w:rPr>
                <w:rFonts w:hint="eastAsia" w:ascii="宋体" w:hAnsi="宋体" w:cs="宋体"/>
                <w:kern w:val="0"/>
              </w:rPr>
              <w:t>3、承诺、措施内容不清晰，简单的得1分；</w:t>
            </w:r>
          </w:p>
          <w:p>
            <w:pPr>
              <w:widowControl/>
              <w:jc w:val="left"/>
              <w:textAlignment w:val="center"/>
              <w:rPr>
                <w:rFonts w:ascii="宋体" w:hAnsi="宋体" w:cs="宋体"/>
                <w:kern w:val="0"/>
              </w:rPr>
            </w:pPr>
            <w:r>
              <w:rPr>
                <w:rFonts w:hint="eastAsia" w:ascii="宋体" w:hAnsi="宋体" w:cs="宋体"/>
                <w:kern w:val="0"/>
              </w:rPr>
              <w:t>不符合或未提供不得分。</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FB9AD2"/>
    <w:multiLevelType w:val="singleLevel"/>
    <w:tmpl w:val="32FB9AD2"/>
    <w:lvl w:ilvl="0" w:tentative="0">
      <w:start w:val="2"/>
      <w:numFmt w:val="decimal"/>
      <w:lvlText w:val="%1."/>
      <w:lvlJc w:val="left"/>
      <w:pPr>
        <w:tabs>
          <w:tab w:val="left" w:pos="312"/>
        </w:tabs>
      </w:pPr>
    </w:lvl>
  </w:abstractNum>
  <w:abstractNum w:abstractNumId="1">
    <w:nsid w:val="3E1535CD"/>
    <w:multiLevelType w:val="singleLevel"/>
    <w:tmpl w:val="3E1535CD"/>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Y5Zjc4OWVjMWYyZGRkZjBmMDViZDcyMWU1MWQyYjcifQ=="/>
  </w:docVars>
  <w:rsids>
    <w:rsidRoot w:val="00826886"/>
    <w:rsid w:val="0066502B"/>
    <w:rsid w:val="00826886"/>
    <w:rsid w:val="00EA614E"/>
    <w:rsid w:val="03742C25"/>
    <w:rsid w:val="097D5A4D"/>
    <w:rsid w:val="65965BF0"/>
    <w:rsid w:val="7EC3326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Plain Text"/>
    <w:basedOn w:val="1"/>
    <w:qFormat/>
    <w:uiPriority w:val="0"/>
    <w:pPr>
      <w:widowControl/>
      <w:spacing w:before="100" w:beforeAutospacing="1" w:after="100" w:afterAutospacing="1"/>
      <w:jc w:val="left"/>
    </w:pPr>
    <w:rPr>
      <w:rFonts w:ascii="宋体" w:hAnsi="宋体" w:cs="宋体"/>
      <w:kern w:val="0"/>
      <w:sz w:val="24"/>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8"/>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页眉 Char"/>
    <w:basedOn w:val="7"/>
    <w:link w:val="4"/>
    <w:uiPriority w:val="0"/>
    <w:rPr>
      <w:rFonts w:ascii="Calibri" w:hAnsi="Calibri" w:eastAsia="宋体" w:cs="Times New Roman"/>
      <w:kern w:val="2"/>
      <w:sz w:val="18"/>
      <w:szCs w:val="18"/>
    </w:rPr>
  </w:style>
  <w:style w:type="character" w:customStyle="1" w:styleId="9">
    <w:name w:val="页脚 Char"/>
    <w:basedOn w:val="7"/>
    <w:link w:val="3"/>
    <w:qFormat/>
    <w:uiPriority w:val="99"/>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4</Pages>
  <Words>388</Words>
  <Characters>2215</Characters>
  <Lines>18</Lines>
  <Paragraphs>5</Paragraphs>
  <TotalTime>1</TotalTime>
  <ScaleCrop>false</ScaleCrop>
  <LinksUpToDate>false</LinksUpToDate>
  <CharactersWithSpaces>2598</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2023-10-24T01:55:00Z</dcterms:created>
  <dc:creator>Administrator.User-2020SHUPXO</dc:creator>
  <cp:lastModifiedBy>lx</cp:lastModifiedBy>
  <dcterms:modified xsi:type="dcterms:W3CDTF">2023-10-25T00:46:32Z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y fmtid="{D5CDD505-2E9C-101B-9397-08002B2CF9AE}" pid="3" name="ICV">
    <vt:lpwstr>30418A1048C74114B85C31B1754C02CC_12</vt:lpwstr>
  </property>
</Properties>
</file>