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i w:val="0"/>
          <w:caps w:val="0"/>
          <w:color w:val="474646"/>
          <w:spacing w:val="0"/>
          <w:kern w:val="0"/>
          <w:sz w:val="36"/>
          <w:szCs w:val="36"/>
          <w:shd w:val="clear" w:fill="FFFFFF"/>
          <w:lang w:val="en-US" w:eastAsia="zh-CN" w:bidi="ar"/>
        </w:rPr>
      </w:pPr>
      <w:r>
        <w:rPr>
          <w:rFonts w:hint="eastAsia" w:ascii="宋体" w:hAnsi="宋体" w:eastAsia="宋体" w:cs="宋体"/>
          <w:i w:val="0"/>
          <w:caps w:val="0"/>
          <w:color w:val="474646"/>
          <w:spacing w:val="0"/>
          <w:kern w:val="0"/>
          <w:sz w:val="36"/>
          <w:szCs w:val="36"/>
          <w:shd w:val="clear" w:fill="FFFFFF"/>
          <w:lang w:val="en-US" w:eastAsia="zh-CN" w:bidi="ar"/>
        </w:rPr>
        <w:t>公安县人民医院建院七十周年形象宣传片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i w:val="0"/>
          <w:caps w:val="0"/>
          <w:color w:val="474646"/>
          <w:spacing w:val="0"/>
          <w:sz w:val="36"/>
          <w:szCs w:val="36"/>
        </w:rPr>
      </w:pPr>
      <w:r>
        <w:rPr>
          <w:rFonts w:hint="eastAsia" w:ascii="宋体" w:hAnsi="宋体" w:eastAsia="宋体" w:cs="宋体"/>
          <w:i w:val="0"/>
          <w:caps w:val="0"/>
          <w:color w:val="474646"/>
          <w:spacing w:val="0"/>
          <w:kern w:val="0"/>
          <w:sz w:val="36"/>
          <w:szCs w:val="36"/>
          <w:shd w:val="clear" w:fill="FFFFFF"/>
          <w:lang w:val="en-US" w:eastAsia="zh-CN" w:bidi="ar"/>
        </w:rPr>
        <w:t>拍摄制作</w:t>
      </w:r>
      <w:r>
        <w:rPr>
          <w:rFonts w:hint="eastAsia" w:ascii="宋体" w:hAnsi="宋体" w:eastAsia="宋体" w:cs="宋体"/>
          <w:b/>
          <w:i w:val="0"/>
          <w:caps w:val="0"/>
          <w:color w:val="474646"/>
          <w:spacing w:val="0"/>
          <w:kern w:val="0"/>
          <w:sz w:val="36"/>
          <w:szCs w:val="36"/>
          <w:shd w:val="clear" w:fill="FFFFFF"/>
          <w:lang w:val="en-US" w:eastAsia="zh-CN" w:bidi="ar"/>
        </w:rPr>
        <w:t>项目内容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b/>
          <w:bCs/>
          <w:i w:val="0"/>
          <w:caps w:val="0"/>
          <w:color w:val="474646"/>
          <w:spacing w:val="0"/>
          <w:sz w:val="24"/>
          <w:szCs w:val="24"/>
        </w:rPr>
      </w:pPr>
      <w:r>
        <w:rPr>
          <w:rFonts w:hint="eastAsia" w:ascii="仿宋" w:hAnsi="仿宋" w:eastAsia="仿宋" w:cs="仿宋"/>
          <w:b/>
          <w:bCs/>
          <w:i w:val="0"/>
          <w:caps w:val="0"/>
          <w:color w:val="474646"/>
          <w:spacing w:val="0"/>
          <w:kern w:val="0"/>
          <w:sz w:val="24"/>
          <w:szCs w:val="24"/>
          <w:shd w:val="clear" w:fill="FFFFFF"/>
          <w:lang w:val="en-US" w:eastAsia="zh-CN" w:bidi="ar"/>
        </w:rPr>
        <w:t>一、拍摄主题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以公安县人民医院建院70年来的建设、改革、跨越为主线，以历史的、现实的和发展的眼光及国际化视角，运用视、听、语言及特效等多种表现方式，展示医院人文底蕴厚重、技术质量精湛、医疗服务优质、社会公信力大、公益责任心强、群众满意度高的三级甲等医院新形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b/>
          <w:bCs/>
          <w:i w:val="0"/>
          <w:caps w:val="0"/>
          <w:color w:val="474646"/>
          <w:spacing w:val="0"/>
          <w:kern w:val="0"/>
          <w:sz w:val="24"/>
          <w:szCs w:val="24"/>
          <w:shd w:val="clear" w:fill="FFFFFF"/>
          <w:lang w:val="en-US" w:eastAsia="zh-CN" w:bidi="ar"/>
        </w:rPr>
      </w:pPr>
      <w:r>
        <w:rPr>
          <w:rFonts w:hint="eastAsia" w:ascii="仿宋" w:hAnsi="仿宋" w:eastAsia="仿宋" w:cs="仿宋"/>
          <w:b/>
          <w:bCs/>
          <w:i w:val="0"/>
          <w:caps w:val="0"/>
          <w:color w:val="474646"/>
          <w:spacing w:val="0"/>
          <w:kern w:val="0"/>
          <w:sz w:val="24"/>
          <w:szCs w:val="24"/>
          <w:shd w:val="clear" w:fill="FFFFFF"/>
          <w:lang w:val="en-US" w:eastAsia="zh-CN" w:bidi="ar"/>
        </w:rPr>
        <w:t>二、拍摄及制作要求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（一）契合公安县人民医院宣传片需求，多方面多层次展现公安县人民医院宣传片基本情况，包括但不限于科技创新、基础设施、配套功能性设施、重大项目、自然和人文环境等内容。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（二）前期创意包括创意策划和分镜脚本等。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（三）前期摄制（摄制人员和演员）包括导演、制片人、摄影指导、摄影师、摄影助理、航拍操控手、灯光师、灯光助理、录音师、化妆师、主演、群演、其他人员等。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（四）摄制设备包括4K电影机等摄影器材、灯光器材、录音设备和航拍飞行器等。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（五）后期制作包括后期导演、二/三维动画、视频剪辑师、调色师、后期特效合成（包括段落特效转场、字幕动效）等。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（六）主题音乐包括编曲、音效、配器、混音等。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（七）拍摄点位：公安县人民医院。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（八）时长：３～５分钟。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（九）画面影像节律动感，动态镜头自然流畅，背景音乐旋律优美，全片可观赏性强，中文配音者需为地级市以上（含）广电播音员。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b/>
          <w:bCs/>
          <w:i w:val="0"/>
          <w:caps w:val="0"/>
          <w:color w:val="474646"/>
          <w:spacing w:val="0"/>
          <w:kern w:val="0"/>
          <w:sz w:val="24"/>
          <w:szCs w:val="24"/>
          <w:shd w:val="clear" w:fill="FFFFFF"/>
          <w:lang w:val="en-US" w:eastAsia="zh-CN" w:bidi="ar"/>
        </w:rPr>
      </w:pPr>
      <w:r>
        <w:rPr>
          <w:rFonts w:hint="eastAsia" w:ascii="仿宋" w:hAnsi="仿宋" w:eastAsia="仿宋" w:cs="仿宋"/>
          <w:b/>
          <w:bCs/>
          <w:i w:val="0"/>
          <w:caps w:val="0"/>
          <w:color w:val="474646"/>
          <w:spacing w:val="0"/>
          <w:kern w:val="0"/>
          <w:sz w:val="24"/>
          <w:szCs w:val="24"/>
          <w:shd w:val="clear" w:fill="FFFFFF"/>
          <w:lang w:val="en-US" w:eastAsia="zh-CN" w:bidi="ar"/>
        </w:rPr>
        <w:t>三、技术保证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一）宣传片运用实景拍摄与后期特效包装制作相结合的手法，使用成片分辨率指标，均按高清技术指标要求。使用数字高清摄影机、调色工作站，丰富的镜头表现手法及设施设备，并配备相关摇臂、轨道、灯光、航拍等硬件设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（二）宣传片画质高清、画面规范，整体表现流畅、内容全面、制作精良，符合各类电视、LED屏幕及手机端播放标准和要求。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（三）宣传片脚本、字幕的撰写由投标人负责，采购人提供相关文字资料和部分图像素材。充分利用如影调变化、快慢动作变化、多画面柔化过渡等技法，使宣传片画面活跃、跳动。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（四）宣传片须条理分明、重点突出，表现手法引人入胜，细节逼真，具有强有力的感染力。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（五）音乐：节奏动感分明，感染力强，激情厚重的背景音乐为主。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（六）宣传片字幕要求有中文简体版本。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（七）宣传片中不得使用任何未授权元素，包含但不限于配乐、视觉元素等。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b/>
          <w:bCs/>
          <w:i w:val="0"/>
          <w:caps w:val="0"/>
          <w:color w:val="474646"/>
          <w:spacing w:val="0"/>
          <w:kern w:val="0"/>
          <w:sz w:val="24"/>
          <w:szCs w:val="24"/>
          <w:shd w:val="clear" w:fill="FFFFFF"/>
          <w:lang w:val="en-US" w:eastAsia="zh-CN" w:bidi="ar"/>
        </w:rPr>
      </w:pPr>
      <w:r>
        <w:rPr>
          <w:rFonts w:hint="eastAsia" w:ascii="仿宋" w:hAnsi="仿宋" w:eastAsia="仿宋" w:cs="仿宋"/>
          <w:b/>
          <w:bCs/>
          <w:i w:val="0"/>
          <w:caps w:val="0"/>
          <w:color w:val="474646"/>
          <w:spacing w:val="0"/>
          <w:kern w:val="0"/>
          <w:sz w:val="24"/>
          <w:szCs w:val="24"/>
          <w:shd w:val="clear" w:fill="FFFFFF"/>
          <w:lang w:val="en-US" w:eastAsia="zh-CN" w:bidi="ar"/>
        </w:rPr>
        <w:t>四、服务范围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bookmarkStart w:id="0" w:name="_Hlk134536117"/>
      <w:r>
        <w:rPr>
          <w:rFonts w:hint="eastAsia" w:ascii="仿宋" w:hAnsi="仿宋" w:eastAsia="仿宋" w:cs="仿宋"/>
          <w:i w:val="0"/>
          <w:caps w:val="0"/>
          <w:color w:val="474646"/>
          <w:spacing w:val="0"/>
          <w:kern w:val="0"/>
          <w:sz w:val="24"/>
          <w:szCs w:val="24"/>
          <w:shd w:val="clear" w:fill="FFFFFF"/>
          <w:lang w:val="en-US" w:eastAsia="zh-CN" w:bidi="ar"/>
        </w:rPr>
        <w:t>（一）要求采用高清数字化设备，以新的模式、新的创意以及新颖的手法和题材体现本项目的特色及亮点。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（二）提供本项目宣传片的创意、策划、拍摄、制作等服务，包括但不限于视频创意、脚本、实施方案、拍摄、制作、配音、字幕、编辑、剪辑等。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（三）提供已完成精确剪辑、调色、字幕、特效等后期制作流程的高清格式宣传视频成品的数字文件。</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02"/>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b/>
          <w:i w:val="0"/>
          <w:caps w:val="0"/>
          <w:color w:val="474646"/>
          <w:spacing w:val="0"/>
          <w:kern w:val="0"/>
          <w:sz w:val="24"/>
          <w:szCs w:val="24"/>
          <w:shd w:val="clear" w:fill="FFFFFF"/>
          <w:lang w:val="en-US" w:eastAsia="zh-CN" w:bidi="ar"/>
        </w:rPr>
        <w:t>五、成片要求及拍摄时间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(一)成片完整材料包括剧本文本、分镜头安排文本、所有拍摄的源视频素材、形象宣传片成片视频。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(二)合同签订完毕后10日内完成剧本编创，并通过招标方审核。剧本通过后15日内完成现场拍摄、后期制作（含配音、后期补拍镜头、编辑调色修改等等），并经招标方审核定稿后将成片交付招标方。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(三)成片交付后售后服务期为1个月。服务期内，可根据甲方要求免费提供视频格式转换，在不改变全片剪辑逻辑前提下的增加或减少素材的更新剪辑等后期服务。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02"/>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b/>
          <w:i w:val="0"/>
          <w:caps w:val="0"/>
          <w:color w:val="474646"/>
          <w:spacing w:val="0"/>
          <w:kern w:val="0"/>
          <w:sz w:val="24"/>
          <w:szCs w:val="24"/>
          <w:shd w:val="clear" w:fill="FFFFFF"/>
          <w:lang w:val="en-US" w:eastAsia="zh-CN" w:bidi="ar"/>
        </w:rPr>
        <w:t>六、投标方资质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（一）投标人必须是中华人民共和国境内注册登记的独立企业或事业法人，具有独立企业法人资格的专业影视制作公司，具有合法名称、组织机构，并提供《营业执照》副本复印件。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（二）未被列入“信用中国"网站(www.creditchina.gov.cn)失信被执行人、重大税收违法案件当事人名单、政府采购严重违法失信行为记录名单。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（三）有丰富的电视专题片、广告片的制作经验。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（四）近三年内有独立完成大型企业（单位）宣传片拍摄工作的经验。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（五）拥有高效稳定的制作团队，摄制组分工明确，责任到人。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（六）摄制前须制定详细的拍摄方案和分镜头文字脚本，方案需切实可行。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i w:val="0"/>
          <w:caps w:val="0"/>
          <w:color w:val="474646"/>
          <w:spacing w:val="0"/>
          <w:kern w:val="0"/>
          <w:sz w:val="24"/>
          <w:szCs w:val="24"/>
          <w:shd w:val="clear" w:fill="FFFFFF"/>
          <w:lang w:val="en-US" w:eastAsia="zh-CN" w:bidi="ar"/>
        </w:rPr>
        <w:t>（七）摄制人员有独到的艺术理念和策划意识，能够满足院方的制作要求。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（八）满足高水平拍摄、编辑、撰稿、字幕、配音等专业要求。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b/>
          <w:bCs/>
          <w:i w:val="0"/>
          <w:caps w:val="0"/>
          <w:color w:val="474646"/>
          <w:spacing w:val="0"/>
          <w:kern w:val="0"/>
          <w:sz w:val="24"/>
          <w:szCs w:val="24"/>
          <w:shd w:val="clear" w:fill="FFFFFF"/>
          <w:lang w:val="en-US" w:eastAsia="zh-CN" w:bidi="ar"/>
        </w:rPr>
      </w:pPr>
      <w:r>
        <w:rPr>
          <w:rFonts w:hint="eastAsia" w:ascii="仿宋" w:hAnsi="仿宋" w:eastAsia="仿宋" w:cs="仿宋"/>
          <w:b/>
          <w:bCs/>
          <w:i w:val="0"/>
          <w:caps w:val="0"/>
          <w:color w:val="474646"/>
          <w:spacing w:val="0"/>
          <w:kern w:val="0"/>
          <w:sz w:val="24"/>
          <w:szCs w:val="24"/>
          <w:shd w:val="clear" w:fill="FFFFFF"/>
          <w:lang w:val="en-US" w:eastAsia="zh-CN" w:bidi="ar"/>
        </w:rPr>
        <w:t>七、验收标准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bookmarkStart w:id="1" w:name="_Hlk134536030"/>
      <w:r>
        <w:rPr>
          <w:rFonts w:hint="eastAsia" w:ascii="仿宋" w:hAnsi="仿宋" w:eastAsia="仿宋" w:cs="仿宋"/>
          <w:i w:val="0"/>
          <w:caps w:val="0"/>
          <w:color w:val="474646"/>
          <w:spacing w:val="0"/>
          <w:kern w:val="0"/>
          <w:sz w:val="24"/>
          <w:szCs w:val="24"/>
          <w:shd w:val="clear" w:fill="FFFFFF"/>
          <w:lang w:val="en-US" w:eastAsia="zh-CN" w:bidi="ar"/>
        </w:rPr>
        <w:t>中标单位需根据本次公安县人民医院宣传片所规定的相关要求进行制作，制作前需提供拍摄脚本、拍摄方案等进行确认，甲方确认签字后开始制作，制作完成后需提交初审样片进行汇报，再根据甲方修改意见，进行修改后，正式提交符合合同约定及专业要求的成片和制作成果交付甲方验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02"/>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b/>
          <w:i w:val="0"/>
          <w:caps w:val="0"/>
          <w:color w:val="474646"/>
          <w:spacing w:val="0"/>
          <w:kern w:val="0"/>
          <w:sz w:val="24"/>
          <w:szCs w:val="24"/>
          <w:shd w:val="clear" w:fill="FFFFFF"/>
          <w:lang w:val="en-US" w:eastAsia="zh-CN" w:bidi="ar"/>
        </w:rPr>
        <w:t>八、投标文件组成：资信及技术、投标价标正本各、副本各1份。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02"/>
        <w:jc w:val="left"/>
        <w:textAlignment w:val="auto"/>
        <w:rPr>
          <w:rFonts w:hint="eastAsia" w:ascii="仿宋" w:hAnsi="仿宋" w:eastAsia="仿宋" w:cs="仿宋"/>
          <w:i w:val="0"/>
          <w:caps w:val="0"/>
          <w:color w:val="474646"/>
          <w:spacing w:val="0"/>
          <w:sz w:val="24"/>
          <w:szCs w:val="24"/>
        </w:rPr>
      </w:pPr>
      <w:r>
        <w:rPr>
          <w:rFonts w:hint="eastAsia" w:ascii="仿宋" w:hAnsi="仿宋" w:eastAsia="仿宋" w:cs="仿宋"/>
          <w:b/>
          <w:i w:val="0"/>
          <w:caps w:val="0"/>
          <w:color w:val="474646"/>
          <w:spacing w:val="0"/>
          <w:kern w:val="0"/>
          <w:sz w:val="24"/>
          <w:szCs w:val="24"/>
          <w:shd w:val="clear" w:fill="FFFFFF"/>
          <w:lang w:val="en-US" w:eastAsia="zh-CN" w:bidi="ar"/>
        </w:rPr>
        <w:t>九、报名资格预审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480"/>
        <w:jc w:val="left"/>
        <w:textAlignment w:val="auto"/>
        <w:rPr>
          <w:rFonts w:hint="eastAsia" w:ascii="仿宋" w:hAnsi="仿宋" w:eastAsia="仿宋" w:cs="仿宋"/>
          <w:i w:val="0"/>
          <w:caps w:val="0"/>
          <w:color w:val="474646"/>
          <w:spacing w:val="0"/>
          <w:kern w:val="0"/>
          <w:sz w:val="24"/>
          <w:szCs w:val="24"/>
          <w:shd w:val="clear" w:fill="FFFFFF"/>
          <w:lang w:val="en-US" w:eastAsia="zh-CN" w:bidi="ar"/>
        </w:rPr>
      </w:pPr>
      <w:r>
        <w:rPr>
          <w:rFonts w:hint="eastAsia" w:ascii="仿宋" w:hAnsi="仿宋" w:eastAsia="仿宋" w:cs="仿宋"/>
          <w:i w:val="0"/>
          <w:caps w:val="0"/>
          <w:color w:val="474646"/>
          <w:spacing w:val="0"/>
          <w:kern w:val="0"/>
          <w:sz w:val="24"/>
          <w:szCs w:val="24"/>
          <w:shd w:val="clear" w:fill="FFFFFF"/>
          <w:lang w:val="en-US" w:eastAsia="zh-CN" w:bidi="ar"/>
        </w:rPr>
        <w:t>预审申请人必须派法定代表人（或委托代理人）持以上资料及企业法定代表人资格证明（或授权委托书）及本人身份证参加验证。经资格预审合格的申请人方可在规定的时间、地点、方式予以报名及参加投标。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wordWrap/>
        <w:spacing w:before="0" w:beforeAutospacing="0" w:after="0" w:afterAutospacing="0"/>
        <w:ind w:left="0" w:right="0" w:firstLine="0"/>
        <w:jc w:val="center"/>
        <w:rPr>
          <w:rFonts w:hint="eastAsia" w:ascii="仿宋" w:hAnsi="仿宋" w:eastAsia="仿宋" w:cs="仿宋"/>
          <w:i w:val="0"/>
          <w:caps w:val="0"/>
          <w:color w:val="474646"/>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wordWrap/>
        <w:spacing w:before="0" w:beforeAutospacing="0" w:after="0" w:afterAutospacing="0"/>
        <w:ind w:left="0" w:right="0" w:firstLine="0"/>
        <w:jc w:val="center"/>
        <w:rPr>
          <w:rFonts w:hint="eastAsia" w:ascii="宋体" w:hAnsi="宋体" w:eastAsia="宋体" w:cs="宋体"/>
          <w:i w:val="0"/>
          <w:caps w:val="0"/>
          <w:color w:val="474646"/>
          <w:spacing w:val="0"/>
          <w:kern w:val="0"/>
          <w:sz w:val="44"/>
          <w:szCs w:val="44"/>
          <w:shd w:val="clear" w:fill="FFFFFF"/>
          <w:lang w:val="en-US" w:eastAsia="zh-CN" w:bidi="ar"/>
        </w:rPr>
        <w:sectPr>
          <w:pgSz w:w="11906" w:h="16838"/>
          <w:pgMar w:top="1417" w:right="1587" w:bottom="1417" w:left="158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hint="default"/>
          <w:lang w:val="en-US" w:eastAsia="zh-CN"/>
        </w:rPr>
      </w:pPr>
      <w:r>
        <w:rPr>
          <w:rFonts w:hint="eastAsia" w:ascii="宋体" w:hAnsi="宋体" w:eastAsia="宋体" w:cs="宋体"/>
          <w:sz w:val="44"/>
          <w:szCs w:val="44"/>
        </w:rPr>
        <w:t>公安县人民医院</w:t>
      </w:r>
      <w:r>
        <w:rPr>
          <w:rFonts w:hint="eastAsia" w:ascii="宋体" w:hAnsi="宋体" w:eastAsia="宋体" w:cs="宋体"/>
          <w:sz w:val="44"/>
          <w:szCs w:val="44"/>
          <w:lang w:val="en-US" w:eastAsia="zh-CN"/>
        </w:rPr>
        <w:t>院内采购综合评分表</w:t>
      </w:r>
    </w:p>
    <w:tbl>
      <w:tblPr>
        <w:tblStyle w:val="9"/>
        <w:tblpPr w:leftFromText="180" w:rightFromText="180" w:vertAnchor="text" w:horzAnchor="page" w:tblpX="1815" w:tblpY="76"/>
        <w:tblOverlap w:val="never"/>
        <w:tblW w:w="87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4201"/>
        <w:gridCol w:w="1246"/>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332" w:type="dxa"/>
            <w:noWrap w:val="0"/>
            <w:vAlign w:val="center"/>
          </w:tcPr>
          <w:p>
            <w:pPr>
              <w:spacing w:line="24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项目名称</w:t>
            </w:r>
          </w:p>
        </w:tc>
        <w:tc>
          <w:tcPr>
            <w:tcW w:w="4201" w:type="dxa"/>
            <w:noWrap w:val="0"/>
            <w:vAlign w:val="center"/>
          </w:tcPr>
          <w:p>
            <w:pPr>
              <w:spacing w:line="240" w:lineRule="auto"/>
              <w:jc w:val="center"/>
              <w:rPr>
                <w:rFonts w:hint="eastAsia" w:ascii="仿宋" w:hAnsi="仿宋" w:eastAsia="仿宋" w:cs="仿宋"/>
                <w:sz w:val="21"/>
                <w:szCs w:val="21"/>
                <w:lang w:val="en-US" w:eastAsia="zh-CN"/>
              </w:rPr>
            </w:pPr>
          </w:p>
        </w:tc>
        <w:tc>
          <w:tcPr>
            <w:tcW w:w="1246" w:type="dxa"/>
            <w:noWrap w:val="0"/>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lang w:val="en-US" w:eastAsia="zh-CN"/>
              </w:rPr>
              <w:t>投标</w:t>
            </w:r>
            <w:r>
              <w:rPr>
                <w:rFonts w:hint="eastAsia" w:ascii="仿宋" w:hAnsi="仿宋" w:eastAsia="仿宋" w:cs="仿宋"/>
                <w:sz w:val="21"/>
                <w:szCs w:val="21"/>
              </w:rPr>
              <w:t>日期</w:t>
            </w:r>
          </w:p>
        </w:tc>
        <w:tc>
          <w:tcPr>
            <w:tcW w:w="2015" w:type="dxa"/>
            <w:noWrap w:val="0"/>
            <w:vAlign w:val="center"/>
          </w:tcPr>
          <w:p>
            <w:pPr>
              <w:wordWrap/>
              <w:spacing w:line="24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2023</w:t>
            </w:r>
            <w:r>
              <w:rPr>
                <w:rFonts w:hint="eastAsia" w:ascii="仿宋" w:hAnsi="仿宋" w:eastAsia="仿宋" w:cs="仿宋"/>
                <w:sz w:val="21"/>
                <w:szCs w:val="21"/>
              </w:rPr>
              <w:t>年</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月</w:t>
            </w:r>
            <w:r>
              <w:rPr>
                <w:rFonts w:hint="eastAsia" w:ascii="仿宋" w:hAnsi="仿宋" w:eastAsia="仿宋" w:cs="仿宋"/>
                <w:sz w:val="21"/>
                <w:szCs w:val="21"/>
                <w:lang w:val="en-US" w:eastAsia="zh-CN"/>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332" w:type="dxa"/>
            <w:noWrap w:val="0"/>
            <w:vAlign w:val="center"/>
          </w:tcPr>
          <w:p>
            <w:pPr>
              <w:spacing w:line="24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联系人</w:t>
            </w:r>
          </w:p>
        </w:tc>
        <w:tc>
          <w:tcPr>
            <w:tcW w:w="4201" w:type="dxa"/>
            <w:noWrap w:val="0"/>
            <w:vAlign w:val="center"/>
          </w:tcPr>
          <w:p>
            <w:pPr>
              <w:spacing w:line="240" w:lineRule="auto"/>
              <w:rPr>
                <w:rFonts w:hint="eastAsia" w:ascii="仿宋" w:hAnsi="仿宋" w:eastAsia="仿宋" w:cs="仿宋"/>
                <w:sz w:val="21"/>
                <w:szCs w:val="21"/>
              </w:rPr>
            </w:pPr>
          </w:p>
        </w:tc>
        <w:tc>
          <w:tcPr>
            <w:tcW w:w="1246" w:type="dxa"/>
            <w:noWrap w:val="0"/>
            <w:vAlign w:val="center"/>
          </w:tcPr>
          <w:p>
            <w:pPr>
              <w:spacing w:line="24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联系电话</w:t>
            </w:r>
          </w:p>
        </w:tc>
        <w:tc>
          <w:tcPr>
            <w:tcW w:w="2015" w:type="dxa"/>
            <w:noWrap w:val="0"/>
            <w:vAlign w:val="center"/>
          </w:tcPr>
          <w:p>
            <w:pPr>
              <w:spacing w:line="240" w:lineRule="auto"/>
              <w:rPr>
                <w:rFonts w:hint="eastAsia" w:ascii="仿宋" w:hAnsi="仿宋" w:eastAsia="仿宋" w:cs="仿宋"/>
                <w:sz w:val="21"/>
                <w:szCs w:val="21"/>
              </w:rPr>
            </w:pPr>
          </w:p>
        </w:tc>
      </w:tr>
    </w:tbl>
    <w:tbl>
      <w:tblPr>
        <w:tblStyle w:val="9"/>
        <w:tblpPr w:leftFromText="180" w:rightFromText="180" w:vertAnchor="text" w:horzAnchor="page" w:tblpX="1830" w:tblpY="231"/>
        <w:tblOverlap w:val="never"/>
        <w:tblW w:w="87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1368"/>
        <w:gridCol w:w="946"/>
        <w:gridCol w:w="422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trPr>
        <w:tc>
          <w:tcPr>
            <w:tcW w:w="1311" w:type="dxa"/>
            <w:noWrap w:val="0"/>
            <w:tcMar>
              <w:top w:w="0" w:type="dxa"/>
              <w:left w:w="108" w:type="dxa"/>
              <w:bottom w:w="0" w:type="dxa"/>
              <w:right w:w="108" w:type="dxa"/>
            </w:tcMar>
            <w:vAlign w:val="bottom"/>
          </w:tcPr>
          <w:p>
            <w:pPr>
              <w:adjustRightInd w:val="0"/>
              <w:snapToGrid w:val="0"/>
              <w:spacing w:line="360" w:lineRule="auto"/>
              <w:jc w:val="center"/>
              <w:rPr>
                <w:rFonts w:hint="eastAsia" w:ascii="仿宋" w:hAnsi="仿宋" w:eastAsia="仿宋" w:cs="仿宋"/>
                <w:b/>
                <w:spacing w:val="0"/>
                <w:w w:val="100"/>
                <w:sz w:val="21"/>
                <w:szCs w:val="21"/>
              </w:rPr>
            </w:pPr>
            <w:r>
              <w:rPr>
                <w:rFonts w:hint="eastAsia" w:ascii="仿宋" w:hAnsi="仿宋" w:eastAsia="仿宋" w:cs="仿宋"/>
                <w:b/>
                <w:spacing w:val="0"/>
                <w:w w:val="100"/>
                <w:sz w:val="21"/>
                <w:szCs w:val="21"/>
              </w:rPr>
              <w:t>评标项目</w:t>
            </w:r>
          </w:p>
        </w:tc>
        <w:tc>
          <w:tcPr>
            <w:tcW w:w="1368" w:type="dxa"/>
            <w:noWrap w:val="0"/>
            <w:tcMar>
              <w:top w:w="0" w:type="dxa"/>
              <w:left w:w="108" w:type="dxa"/>
              <w:bottom w:w="0" w:type="dxa"/>
              <w:right w:w="108" w:type="dxa"/>
            </w:tcMar>
            <w:vAlign w:val="bottom"/>
          </w:tcPr>
          <w:p>
            <w:pPr>
              <w:adjustRightInd w:val="0"/>
              <w:snapToGrid w:val="0"/>
              <w:spacing w:line="360" w:lineRule="auto"/>
              <w:jc w:val="center"/>
              <w:rPr>
                <w:rFonts w:hint="eastAsia" w:ascii="仿宋" w:hAnsi="仿宋" w:eastAsia="仿宋" w:cs="仿宋"/>
                <w:b/>
                <w:spacing w:val="0"/>
                <w:w w:val="100"/>
                <w:sz w:val="21"/>
                <w:szCs w:val="21"/>
              </w:rPr>
            </w:pPr>
            <w:r>
              <w:rPr>
                <w:rFonts w:hint="eastAsia" w:ascii="仿宋" w:hAnsi="仿宋" w:eastAsia="仿宋" w:cs="仿宋"/>
                <w:b/>
                <w:spacing w:val="0"/>
                <w:w w:val="100"/>
                <w:sz w:val="21"/>
                <w:szCs w:val="21"/>
              </w:rPr>
              <w:t>评标分项</w:t>
            </w:r>
          </w:p>
        </w:tc>
        <w:tc>
          <w:tcPr>
            <w:tcW w:w="946" w:type="dxa"/>
            <w:noWrap w:val="0"/>
            <w:tcMar>
              <w:top w:w="0" w:type="dxa"/>
              <w:left w:w="108" w:type="dxa"/>
              <w:bottom w:w="0" w:type="dxa"/>
              <w:right w:w="108" w:type="dxa"/>
            </w:tcMar>
            <w:vAlign w:val="bottom"/>
          </w:tcPr>
          <w:p>
            <w:pPr>
              <w:snapToGrid w:val="0"/>
              <w:spacing w:line="360" w:lineRule="auto"/>
              <w:jc w:val="center"/>
              <w:rPr>
                <w:rFonts w:hint="eastAsia" w:ascii="仿宋" w:hAnsi="仿宋" w:eastAsia="仿宋" w:cs="仿宋"/>
                <w:b/>
                <w:spacing w:val="0"/>
                <w:w w:val="100"/>
                <w:sz w:val="21"/>
                <w:szCs w:val="21"/>
              </w:rPr>
            </w:pPr>
            <w:r>
              <w:rPr>
                <w:rFonts w:hint="eastAsia" w:ascii="仿宋" w:hAnsi="仿宋" w:eastAsia="仿宋" w:cs="仿宋"/>
                <w:b/>
                <w:spacing w:val="0"/>
                <w:w w:val="100"/>
                <w:sz w:val="21"/>
                <w:szCs w:val="21"/>
              </w:rPr>
              <w:t>分值</w:t>
            </w:r>
          </w:p>
        </w:tc>
        <w:tc>
          <w:tcPr>
            <w:tcW w:w="4221" w:type="dxa"/>
            <w:noWrap w:val="0"/>
            <w:tcMar>
              <w:top w:w="0" w:type="dxa"/>
              <w:left w:w="108" w:type="dxa"/>
              <w:bottom w:w="0" w:type="dxa"/>
              <w:right w:w="108" w:type="dxa"/>
            </w:tcMar>
            <w:vAlign w:val="bottom"/>
          </w:tcPr>
          <w:p>
            <w:pPr>
              <w:snapToGrid w:val="0"/>
              <w:spacing w:line="360" w:lineRule="auto"/>
              <w:jc w:val="center"/>
              <w:rPr>
                <w:rFonts w:hint="eastAsia" w:ascii="仿宋" w:hAnsi="仿宋" w:eastAsia="仿宋" w:cs="仿宋"/>
                <w:b/>
                <w:spacing w:val="0"/>
                <w:w w:val="100"/>
                <w:sz w:val="21"/>
                <w:szCs w:val="21"/>
              </w:rPr>
            </w:pPr>
            <w:r>
              <w:rPr>
                <w:rFonts w:hint="eastAsia" w:ascii="仿宋" w:hAnsi="仿宋" w:eastAsia="仿宋" w:cs="仿宋"/>
                <w:b/>
                <w:spacing w:val="0"/>
                <w:w w:val="100"/>
                <w:sz w:val="21"/>
                <w:szCs w:val="21"/>
              </w:rPr>
              <w:t>子项目及分值</w:t>
            </w:r>
          </w:p>
        </w:tc>
        <w:tc>
          <w:tcPr>
            <w:tcW w:w="924" w:type="dxa"/>
            <w:noWrap w:val="0"/>
            <w:tcMar>
              <w:top w:w="0" w:type="dxa"/>
              <w:left w:w="108" w:type="dxa"/>
              <w:bottom w:w="0" w:type="dxa"/>
              <w:right w:w="108" w:type="dxa"/>
            </w:tcMar>
            <w:vAlign w:val="bottom"/>
          </w:tcPr>
          <w:p>
            <w:pPr>
              <w:snapToGrid w:val="0"/>
              <w:spacing w:line="360" w:lineRule="auto"/>
              <w:jc w:val="center"/>
              <w:rPr>
                <w:rFonts w:hint="eastAsia" w:ascii="仿宋" w:hAnsi="仿宋" w:eastAsia="仿宋" w:cs="仿宋"/>
                <w:b/>
                <w:spacing w:val="0"/>
                <w:w w:val="100"/>
                <w:sz w:val="21"/>
                <w:szCs w:val="21"/>
                <w:lang w:val="en-US" w:eastAsia="zh-CN"/>
              </w:rPr>
            </w:pPr>
            <w:r>
              <w:rPr>
                <w:rFonts w:hint="eastAsia" w:ascii="仿宋" w:hAnsi="仿宋" w:eastAsia="仿宋" w:cs="仿宋"/>
                <w:b/>
                <w:spacing w:val="0"/>
                <w:w w:val="100"/>
                <w:sz w:val="21"/>
                <w:szCs w:val="21"/>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1" w:hRule="atLeast"/>
        </w:trPr>
        <w:tc>
          <w:tcPr>
            <w:tcW w:w="1311" w:type="dxa"/>
            <w:noWrap w:val="0"/>
            <w:tcMar>
              <w:top w:w="0" w:type="dxa"/>
              <w:left w:w="108" w:type="dxa"/>
              <w:bottom w:w="0" w:type="dxa"/>
              <w:right w:w="108" w:type="dxa"/>
            </w:tcMar>
            <w:vAlign w:val="center"/>
          </w:tcPr>
          <w:p>
            <w:pPr>
              <w:adjustRightInd w:val="0"/>
              <w:snapToGrid w:val="0"/>
              <w:spacing w:line="360" w:lineRule="auto"/>
              <w:jc w:val="center"/>
              <w:rPr>
                <w:rFonts w:hint="eastAsia" w:ascii="仿宋" w:hAnsi="仿宋" w:eastAsia="仿宋" w:cs="仿宋"/>
                <w:spacing w:val="-6"/>
                <w:sz w:val="21"/>
                <w:szCs w:val="21"/>
                <w:lang w:eastAsia="zh-CN"/>
              </w:rPr>
            </w:pPr>
            <w:r>
              <w:rPr>
                <w:rFonts w:hint="eastAsia" w:ascii="仿宋" w:hAnsi="仿宋" w:eastAsia="仿宋" w:cs="仿宋"/>
                <w:spacing w:val="-6"/>
                <w:sz w:val="21"/>
                <w:szCs w:val="21"/>
                <w:lang w:eastAsia="zh-CN"/>
              </w:rPr>
              <w:t>价格部分</w:t>
            </w:r>
          </w:p>
          <w:p>
            <w:pPr>
              <w:adjustRightInd w:val="0"/>
              <w:snapToGrid w:val="0"/>
              <w:spacing w:line="360" w:lineRule="auto"/>
              <w:jc w:val="center"/>
              <w:rPr>
                <w:rFonts w:hint="eastAsia" w:ascii="仿宋" w:hAnsi="仿宋" w:eastAsia="仿宋" w:cs="仿宋"/>
                <w:b/>
                <w:spacing w:val="0"/>
                <w:w w:val="100"/>
                <w:sz w:val="21"/>
                <w:szCs w:val="21"/>
                <w:lang w:val="en-US" w:eastAsia="zh-CN"/>
              </w:rPr>
            </w:pPr>
            <w:r>
              <w:rPr>
                <w:rFonts w:hint="eastAsia" w:ascii="仿宋" w:hAnsi="仿宋" w:eastAsia="仿宋" w:cs="仿宋"/>
                <w:spacing w:val="-6"/>
                <w:sz w:val="21"/>
                <w:szCs w:val="21"/>
                <w:lang w:eastAsia="zh-CN"/>
              </w:rPr>
              <w:t>（</w:t>
            </w:r>
            <w:r>
              <w:rPr>
                <w:rFonts w:hint="eastAsia" w:ascii="仿宋" w:hAnsi="仿宋" w:eastAsia="仿宋" w:cs="仿宋"/>
                <w:spacing w:val="-6"/>
                <w:sz w:val="21"/>
                <w:szCs w:val="21"/>
                <w:lang w:val="en-US" w:eastAsia="zh-CN"/>
              </w:rPr>
              <w:t>20</w:t>
            </w:r>
            <w:r>
              <w:rPr>
                <w:rFonts w:hint="eastAsia" w:ascii="仿宋" w:hAnsi="仿宋" w:eastAsia="仿宋" w:cs="仿宋"/>
                <w:spacing w:val="-6"/>
                <w:sz w:val="21"/>
                <w:szCs w:val="21"/>
                <w:lang w:eastAsia="zh-CN"/>
              </w:rPr>
              <w:t>分）</w:t>
            </w:r>
          </w:p>
        </w:tc>
        <w:tc>
          <w:tcPr>
            <w:tcW w:w="1368" w:type="dxa"/>
            <w:noWrap w:val="0"/>
            <w:tcMar>
              <w:top w:w="0" w:type="dxa"/>
              <w:left w:w="108" w:type="dxa"/>
              <w:bottom w:w="0" w:type="dxa"/>
              <w:right w:w="108" w:type="dxa"/>
            </w:tcMar>
            <w:vAlign w:val="center"/>
          </w:tcPr>
          <w:p>
            <w:pPr>
              <w:adjustRightInd w:val="0"/>
              <w:snapToGrid w:val="0"/>
              <w:spacing w:line="360" w:lineRule="auto"/>
              <w:jc w:val="center"/>
              <w:rPr>
                <w:rFonts w:hint="eastAsia" w:ascii="仿宋" w:hAnsi="仿宋" w:eastAsia="仿宋" w:cs="仿宋"/>
                <w:b/>
                <w:spacing w:val="0"/>
                <w:w w:val="100"/>
                <w:sz w:val="21"/>
                <w:szCs w:val="21"/>
                <w:lang w:eastAsia="zh-CN"/>
              </w:rPr>
            </w:pPr>
            <w:r>
              <w:rPr>
                <w:rFonts w:hint="eastAsia" w:ascii="仿宋" w:hAnsi="仿宋" w:eastAsia="仿宋" w:cs="仿宋"/>
                <w:b w:val="0"/>
                <w:bCs/>
                <w:spacing w:val="0"/>
                <w:w w:val="100"/>
                <w:sz w:val="21"/>
                <w:szCs w:val="21"/>
                <w:lang w:eastAsia="zh-CN"/>
              </w:rPr>
              <w:t>投标报价</w:t>
            </w:r>
          </w:p>
        </w:tc>
        <w:tc>
          <w:tcPr>
            <w:tcW w:w="946" w:type="dxa"/>
            <w:noWrap w:val="0"/>
            <w:tcMar>
              <w:top w:w="0" w:type="dxa"/>
              <w:left w:w="108" w:type="dxa"/>
              <w:bottom w:w="0" w:type="dxa"/>
              <w:right w:w="108" w:type="dxa"/>
            </w:tcMar>
            <w:vAlign w:val="center"/>
          </w:tcPr>
          <w:p>
            <w:pPr>
              <w:snapToGrid w:val="0"/>
              <w:spacing w:line="360" w:lineRule="auto"/>
              <w:jc w:val="center"/>
              <w:rPr>
                <w:rFonts w:hint="default" w:ascii="仿宋" w:hAnsi="仿宋" w:eastAsia="仿宋" w:cs="仿宋"/>
                <w:b/>
                <w:spacing w:val="0"/>
                <w:w w:val="100"/>
                <w:sz w:val="21"/>
                <w:szCs w:val="21"/>
                <w:lang w:val="en-US" w:eastAsia="zh-CN"/>
              </w:rPr>
            </w:pPr>
            <w:r>
              <w:rPr>
                <w:rFonts w:hint="eastAsia" w:ascii="仿宋" w:hAnsi="仿宋" w:eastAsia="仿宋" w:cs="仿宋"/>
                <w:sz w:val="21"/>
                <w:szCs w:val="21"/>
                <w:lang w:val="en-US" w:eastAsia="zh-CN"/>
              </w:rPr>
              <w:t>20分</w:t>
            </w:r>
          </w:p>
        </w:tc>
        <w:tc>
          <w:tcPr>
            <w:tcW w:w="4221" w:type="dxa"/>
            <w:noWrap w:val="0"/>
            <w:tcMar>
              <w:top w:w="0" w:type="dxa"/>
              <w:left w:w="108" w:type="dxa"/>
              <w:bottom w:w="0" w:type="dxa"/>
              <w:right w:w="108" w:type="dxa"/>
            </w:tcMar>
            <w:vAlign w:val="center"/>
          </w:tcPr>
          <w:p>
            <w:pPr>
              <w:snapToGrid w:val="0"/>
              <w:spacing w:line="240" w:lineRule="auto"/>
              <w:jc w:val="left"/>
              <w:rPr>
                <w:rFonts w:hint="default" w:ascii="仿宋" w:hAnsi="仿宋" w:eastAsia="仿宋" w:cs="仿宋"/>
                <w:b/>
                <w:spacing w:val="0"/>
                <w:w w:val="100"/>
                <w:sz w:val="21"/>
                <w:szCs w:val="21"/>
                <w:lang w:val="en-US" w:eastAsia="zh-CN"/>
              </w:rPr>
            </w:pPr>
            <w:r>
              <w:rPr>
                <w:rFonts w:hint="eastAsia" w:ascii="仿宋" w:hAnsi="仿宋" w:eastAsia="仿宋" w:cs="仿宋"/>
                <w:sz w:val="21"/>
                <w:szCs w:val="21"/>
                <w:lang w:eastAsia="zh-CN"/>
              </w:rPr>
              <w:t>满足招标文件且投标价格最低的投标报价为评标基准价，其价格分为满分。其他投标人的价格分统一按照下列公式计算：投标报价得分</w:t>
            </w:r>
            <w:r>
              <w:rPr>
                <w:rFonts w:hint="eastAsia" w:ascii="仿宋" w:hAnsi="仿宋" w:eastAsia="仿宋" w:cs="仿宋"/>
                <w:sz w:val="21"/>
                <w:szCs w:val="21"/>
                <w:lang w:val="en-US" w:eastAsia="zh-CN"/>
              </w:rPr>
              <w:t>=（评标基准价/投标报价）×100×20%。</w:t>
            </w:r>
          </w:p>
        </w:tc>
        <w:tc>
          <w:tcPr>
            <w:tcW w:w="924" w:type="dxa"/>
            <w:noWrap w:val="0"/>
            <w:tcMar>
              <w:top w:w="0" w:type="dxa"/>
              <w:left w:w="108" w:type="dxa"/>
              <w:bottom w:w="0" w:type="dxa"/>
              <w:right w:w="108" w:type="dxa"/>
            </w:tcMar>
            <w:vAlign w:val="center"/>
          </w:tcPr>
          <w:p>
            <w:pPr>
              <w:snapToGrid w:val="0"/>
              <w:spacing w:line="360" w:lineRule="auto"/>
              <w:jc w:val="center"/>
              <w:rPr>
                <w:rFonts w:hint="eastAsia" w:ascii="仿宋" w:hAnsi="仿宋" w:eastAsia="仿宋" w:cs="仿宋"/>
                <w:b/>
                <w:spacing w:val="0"/>
                <w:w w:val="1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1311" w:type="dxa"/>
            <w:noWrap w:val="0"/>
            <w:vAlign w:val="center"/>
          </w:tcPr>
          <w:p>
            <w:pPr>
              <w:adjustRightInd w:val="0"/>
              <w:snapToGrid w:val="0"/>
              <w:spacing w:line="360" w:lineRule="auto"/>
              <w:jc w:val="center"/>
              <w:rPr>
                <w:rFonts w:hint="eastAsia" w:ascii="仿宋" w:hAnsi="仿宋" w:eastAsia="仿宋" w:cs="仿宋"/>
                <w:spacing w:val="-6"/>
                <w:sz w:val="21"/>
                <w:szCs w:val="21"/>
                <w:lang w:eastAsia="zh-CN"/>
              </w:rPr>
            </w:pPr>
            <w:r>
              <w:rPr>
                <w:rFonts w:hint="eastAsia" w:ascii="仿宋" w:hAnsi="仿宋" w:eastAsia="仿宋" w:cs="仿宋"/>
                <w:spacing w:val="-6"/>
                <w:sz w:val="21"/>
                <w:szCs w:val="21"/>
                <w:lang w:eastAsia="zh-CN"/>
              </w:rPr>
              <w:t>商务部分</w:t>
            </w:r>
          </w:p>
          <w:p>
            <w:pPr>
              <w:adjustRightInd w:val="0"/>
              <w:snapToGrid w:val="0"/>
              <w:spacing w:line="360" w:lineRule="auto"/>
              <w:jc w:val="center"/>
              <w:rPr>
                <w:rFonts w:hint="eastAsia" w:ascii="仿宋" w:hAnsi="仿宋" w:eastAsia="仿宋" w:cs="仿宋"/>
                <w:spacing w:val="-6"/>
                <w:sz w:val="21"/>
                <w:szCs w:val="21"/>
              </w:rPr>
            </w:pPr>
            <w:r>
              <w:rPr>
                <w:rFonts w:hint="eastAsia" w:ascii="仿宋" w:hAnsi="仿宋" w:eastAsia="仿宋" w:cs="仿宋"/>
                <w:spacing w:val="-6"/>
                <w:sz w:val="21"/>
                <w:szCs w:val="21"/>
              </w:rPr>
              <w:t>（</w:t>
            </w:r>
            <w:r>
              <w:rPr>
                <w:rFonts w:hint="eastAsia" w:ascii="仿宋" w:hAnsi="仿宋" w:eastAsia="仿宋" w:cs="仿宋"/>
                <w:spacing w:val="-6"/>
                <w:sz w:val="21"/>
                <w:szCs w:val="21"/>
                <w:lang w:val="en-US" w:eastAsia="zh-CN"/>
              </w:rPr>
              <w:t>10</w:t>
            </w:r>
            <w:r>
              <w:rPr>
                <w:rFonts w:hint="eastAsia" w:ascii="仿宋" w:hAnsi="仿宋" w:eastAsia="仿宋" w:cs="仿宋"/>
                <w:spacing w:val="-6"/>
                <w:sz w:val="21"/>
                <w:szCs w:val="21"/>
              </w:rPr>
              <w:t>分）</w:t>
            </w:r>
          </w:p>
        </w:tc>
        <w:tc>
          <w:tcPr>
            <w:tcW w:w="1368" w:type="dxa"/>
            <w:tcBorders>
              <w:bottom w:val="single" w:color="auto" w:sz="4" w:space="0"/>
            </w:tcBorders>
            <w:noWrap w:val="0"/>
            <w:vAlign w:val="center"/>
          </w:tcPr>
          <w:p>
            <w:pPr>
              <w:adjustRightInd w:val="0"/>
              <w:snapToGrid w:val="0"/>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沟通对接</w:t>
            </w:r>
          </w:p>
        </w:tc>
        <w:tc>
          <w:tcPr>
            <w:tcW w:w="946" w:type="dxa"/>
            <w:noWrap w:val="0"/>
            <w:vAlign w:val="center"/>
          </w:tcPr>
          <w:p>
            <w:pPr>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lang w:val="en-US" w:eastAsia="zh-CN"/>
              </w:rPr>
              <w:t>10</w:t>
            </w:r>
            <w:r>
              <w:rPr>
                <w:rFonts w:hint="eastAsia" w:ascii="仿宋" w:hAnsi="仿宋" w:eastAsia="仿宋" w:cs="仿宋"/>
                <w:sz w:val="21"/>
                <w:szCs w:val="21"/>
              </w:rPr>
              <w:t>分</w:t>
            </w:r>
          </w:p>
        </w:tc>
        <w:tc>
          <w:tcPr>
            <w:tcW w:w="4221" w:type="dxa"/>
            <w:noWrap w:val="0"/>
            <w:vAlign w:val="center"/>
          </w:tcPr>
          <w:p>
            <w:pPr>
              <w:adjustRightInd w:val="0"/>
              <w:snapToGrid w:val="0"/>
              <w:spacing w:line="240" w:lineRule="auto"/>
              <w:rPr>
                <w:rFonts w:hint="default" w:ascii="仿宋" w:hAnsi="仿宋" w:eastAsia="仿宋" w:cs="仿宋"/>
                <w:spacing w:val="-6"/>
                <w:sz w:val="21"/>
                <w:szCs w:val="21"/>
                <w:lang w:val="en-US" w:eastAsia="zh-CN"/>
              </w:rPr>
            </w:pPr>
            <w:r>
              <w:rPr>
                <w:rFonts w:hint="eastAsia" w:ascii="仿宋" w:hAnsi="仿宋" w:eastAsia="仿宋" w:cs="仿宋"/>
                <w:sz w:val="21"/>
                <w:szCs w:val="21"/>
                <w:lang w:eastAsia="zh-CN"/>
              </w:rPr>
              <w:t>策划沟通（</w:t>
            </w:r>
            <w:r>
              <w:rPr>
                <w:rFonts w:hint="eastAsia" w:ascii="仿宋" w:hAnsi="仿宋" w:eastAsia="仿宋" w:cs="仿宋"/>
                <w:sz w:val="21"/>
                <w:szCs w:val="21"/>
                <w:lang w:val="en-US" w:eastAsia="zh-CN"/>
              </w:rPr>
              <w:t>10分</w:t>
            </w:r>
            <w:r>
              <w:rPr>
                <w:rFonts w:hint="eastAsia" w:ascii="仿宋" w:hAnsi="仿宋" w:eastAsia="仿宋" w:cs="仿宋"/>
                <w:sz w:val="21"/>
                <w:szCs w:val="21"/>
                <w:lang w:eastAsia="zh-CN"/>
              </w:rPr>
              <w:t>）：前期</w:t>
            </w:r>
            <w:r>
              <w:rPr>
                <w:rFonts w:hint="eastAsia" w:ascii="仿宋" w:hAnsi="仿宋" w:eastAsia="仿宋" w:cs="仿宋"/>
                <w:sz w:val="21"/>
                <w:szCs w:val="21"/>
                <w:lang w:val="en-US" w:eastAsia="zh-CN"/>
              </w:rPr>
              <w:t>对医院七十周年文化进行</w:t>
            </w:r>
            <w:r>
              <w:rPr>
                <w:rFonts w:hint="eastAsia" w:ascii="仿宋" w:hAnsi="仿宋" w:eastAsia="仿宋" w:cs="仿宋"/>
                <w:sz w:val="21"/>
                <w:szCs w:val="21"/>
                <w:lang w:eastAsia="zh-CN"/>
              </w:rPr>
              <w:t>调研</w:t>
            </w:r>
            <w:r>
              <w:rPr>
                <w:rFonts w:hint="eastAsia" w:ascii="仿宋" w:hAnsi="仿宋" w:eastAsia="仿宋" w:cs="仿宋"/>
                <w:sz w:val="21"/>
                <w:szCs w:val="21"/>
                <w:lang w:val="en-US" w:eastAsia="zh-CN"/>
              </w:rPr>
              <w:t>，策划并提供切实可行的宣传方案，为医院宣传策划提供合理建议。</w:t>
            </w:r>
          </w:p>
        </w:tc>
        <w:tc>
          <w:tcPr>
            <w:tcW w:w="924" w:type="dxa"/>
            <w:noWrap w:val="0"/>
            <w:vAlign w:val="center"/>
          </w:tcPr>
          <w:p>
            <w:pPr>
              <w:adjustRightInd w:val="0"/>
              <w:snapToGrid w:val="0"/>
              <w:spacing w:line="360" w:lineRule="auto"/>
              <w:ind w:right="351" w:rightChars="167"/>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1311" w:type="dxa"/>
            <w:vMerge w:val="restart"/>
            <w:noWrap w:val="0"/>
            <w:vAlign w:val="center"/>
          </w:tcPr>
          <w:p>
            <w:pPr>
              <w:adjustRightInd w:val="0"/>
              <w:snapToGrid w:val="0"/>
              <w:spacing w:line="360" w:lineRule="auto"/>
              <w:jc w:val="center"/>
              <w:rPr>
                <w:rFonts w:hint="eastAsia" w:ascii="仿宋" w:hAnsi="仿宋" w:eastAsia="仿宋" w:cs="仿宋"/>
                <w:spacing w:val="-6"/>
                <w:sz w:val="21"/>
                <w:szCs w:val="21"/>
                <w:lang w:eastAsia="zh-CN"/>
              </w:rPr>
            </w:pPr>
            <w:r>
              <w:rPr>
                <w:rFonts w:hint="eastAsia" w:ascii="仿宋" w:hAnsi="仿宋" w:eastAsia="仿宋" w:cs="仿宋"/>
                <w:spacing w:val="-6"/>
                <w:sz w:val="21"/>
                <w:szCs w:val="21"/>
                <w:lang w:eastAsia="zh-CN"/>
              </w:rPr>
              <w:t>技术部分</w:t>
            </w:r>
          </w:p>
          <w:p>
            <w:pPr>
              <w:adjustRightInd w:val="0"/>
              <w:snapToGrid w:val="0"/>
              <w:spacing w:line="360" w:lineRule="auto"/>
              <w:jc w:val="center"/>
              <w:rPr>
                <w:rFonts w:hint="eastAsia" w:ascii="仿宋" w:hAnsi="仿宋" w:eastAsia="仿宋" w:cs="仿宋"/>
                <w:spacing w:val="-6"/>
                <w:sz w:val="21"/>
                <w:szCs w:val="21"/>
              </w:rPr>
            </w:pPr>
            <w:r>
              <w:rPr>
                <w:rFonts w:hint="eastAsia" w:ascii="仿宋" w:hAnsi="仿宋" w:eastAsia="仿宋" w:cs="仿宋"/>
                <w:spacing w:val="-6"/>
                <w:sz w:val="21"/>
                <w:szCs w:val="21"/>
              </w:rPr>
              <w:t>（</w:t>
            </w:r>
            <w:r>
              <w:rPr>
                <w:rFonts w:hint="eastAsia" w:ascii="仿宋" w:hAnsi="仿宋" w:eastAsia="仿宋" w:cs="仿宋"/>
                <w:spacing w:val="-6"/>
                <w:sz w:val="21"/>
                <w:szCs w:val="21"/>
                <w:lang w:val="en-US" w:eastAsia="zh-CN"/>
              </w:rPr>
              <w:t>70</w:t>
            </w:r>
            <w:r>
              <w:rPr>
                <w:rFonts w:hint="eastAsia" w:ascii="仿宋" w:hAnsi="仿宋" w:eastAsia="仿宋" w:cs="仿宋"/>
                <w:spacing w:val="-6"/>
                <w:sz w:val="21"/>
                <w:szCs w:val="21"/>
              </w:rPr>
              <w:t>分）</w:t>
            </w:r>
          </w:p>
        </w:tc>
        <w:tc>
          <w:tcPr>
            <w:tcW w:w="1368" w:type="dxa"/>
            <w:vMerge w:val="restart"/>
            <w:tcBorders>
              <w:top w:val="single" w:color="auto" w:sz="4" w:space="0"/>
            </w:tcBorders>
            <w:noWrap w:val="0"/>
            <w:vAlign w:val="center"/>
          </w:tcPr>
          <w:p>
            <w:pPr>
              <w:shd w:val="clear"/>
              <w:jc w:val="both"/>
              <w:rPr>
                <w:rFonts w:hint="eastAsia" w:ascii="仿宋" w:hAnsi="仿宋" w:eastAsia="仿宋" w:cs="仿宋"/>
                <w:sz w:val="21"/>
                <w:szCs w:val="21"/>
                <w:lang w:val="en-US" w:eastAsia="zh-CN"/>
              </w:rPr>
            </w:pPr>
            <w:r>
              <w:rPr>
                <w:rFonts w:hint="eastAsia" w:ascii="仿宋" w:hAnsi="仿宋" w:eastAsia="仿宋" w:cs="仿宋"/>
                <w:sz w:val="21"/>
                <w:szCs w:val="21"/>
                <w:lang w:eastAsia="zh-CN"/>
              </w:rPr>
              <w:t>竞</w:t>
            </w:r>
            <w:r>
              <w:rPr>
                <w:rFonts w:hint="eastAsia" w:ascii="仿宋" w:hAnsi="仿宋" w:eastAsia="仿宋" w:cs="仿宋"/>
                <w:sz w:val="21"/>
                <w:szCs w:val="21"/>
              </w:rPr>
              <w:t>标单位评分</w:t>
            </w:r>
          </w:p>
        </w:tc>
        <w:tc>
          <w:tcPr>
            <w:tcW w:w="946" w:type="dxa"/>
            <w:vMerge w:val="restart"/>
            <w:noWrap w:val="0"/>
            <w:vAlign w:val="center"/>
          </w:tcPr>
          <w:p>
            <w:pPr>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lang w:val="en-US" w:eastAsia="zh-CN"/>
              </w:rPr>
              <w:t>30</w:t>
            </w:r>
            <w:r>
              <w:rPr>
                <w:rFonts w:hint="eastAsia" w:ascii="仿宋" w:hAnsi="仿宋" w:eastAsia="仿宋" w:cs="仿宋"/>
                <w:sz w:val="21"/>
                <w:szCs w:val="21"/>
              </w:rPr>
              <w:t>分</w:t>
            </w:r>
          </w:p>
        </w:tc>
        <w:tc>
          <w:tcPr>
            <w:tcW w:w="4221" w:type="dxa"/>
            <w:noWrap w:val="0"/>
            <w:vAlign w:val="center"/>
          </w:tcPr>
          <w:p>
            <w:pPr>
              <w:shd w:val="clear"/>
              <w:rPr>
                <w:rFonts w:hint="eastAsia" w:ascii="仿宋" w:hAnsi="仿宋" w:eastAsia="仿宋" w:cs="仿宋"/>
                <w:spacing w:val="-6"/>
                <w:sz w:val="21"/>
                <w:szCs w:val="21"/>
              </w:rPr>
            </w:pPr>
            <w:r>
              <w:rPr>
                <w:rFonts w:hint="eastAsia" w:ascii="仿宋" w:hAnsi="仿宋" w:eastAsia="仿宋" w:cs="仿宋"/>
                <w:sz w:val="21"/>
                <w:szCs w:val="21"/>
              </w:rPr>
              <w:t>公司实力和履行合同能力(10分):含单位资质(与影视技术相关的知识产权５件以上)</w:t>
            </w:r>
            <w:r>
              <w:rPr>
                <w:rFonts w:hint="eastAsia" w:ascii="仿宋" w:hAnsi="仿宋" w:eastAsia="仿宋" w:cs="仿宋"/>
                <w:sz w:val="21"/>
                <w:szCs w:val="21"/>
                <w:lang w:eastAsia="zh-CN"/>
              </w:rPr>
              <w:t>、</w:t>
            </w:r>
            <w:r>
              <w:rPr>
                <w:rFonts w:hint="eastAsia" w:ascii="仿宋" w:hAnsi="仿宋" w:eastAsia="仿宋" w:cs="仿宋"/>
                <w:sz w:val="21"/>
                <w:szCs w:val="21"/>
              </w:rPr>
              <w:t>经营运行、工作模式等。</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default" w:ascii="仿宋" w:hAnsi="仿宋" w:eastAsia="仿宋" w:cs="仿宋"/>
                <w:spacing w:val="-6"/>
                <w:sz w:val="21"/>
                <w:szCs w:val="21"/>
                <w:lang w:val="en-US" w:eastAsia="zh-CN"/>
              </w:rPr>
            </w:pPr>
            <w:r>
              <w:rPr>
                <w:rFonts w:hint="eastAsia" w:ascii="仿宋" w:hAnsi="仿宋" w:eastAsia="仿宋" w:cs="仿宋"/>
                <w:sz w:val="21"/>
                <w:szCs w:val="21"/>
              </w:rPr>
              <w:t>作品</w:t>
            </w:r>
            <w:r>
              <w:rPr>
                <w:rFonts w:hint="eastAsia" w:ascii="仿宋" w:hAnsi="仿宋" w:eastAsia="仿宋" w:cs="仿宋"/>
                <w:sz w:val="21"/>
                <w:szCs w:val="21"/>
                <w:lang w:eastAsia="zh-CN"/>
              </w:rPr>
              <w:t>在官方媒体</w:t>
            </w:r>
            <w:r>
              <w:rPr>
                <w:rFonts w:hint="eastAsia" w:ascii="仿宋" w:hAnsi="仿宋" w:eastAsia="仿宋" w:cs="仿宋"/>
                <w:sz w:val="21"/>
                <w:szCs w:val="21"/>
              </w:rPr>
              <w:t>发布(3分)案例提供评分参考</w:t>
            </w:r>
            <w:r>
              <w:rPr>
                <w:rFonts w:hint="eastAsia" w:ascii="仿宋" w:hAnsi="仿宋" w:eastAsia="仿宋" w:cs="仿宋"/>
                <w:sz w:val="21"/>
                <w:szCs w:val="21"/>
                <w:lang w:eastAsia="zh-CN"/>
              </w:rPr>
              <w:t>（发布一项得</w:t>
            </w:r>
            <w:r>
              <w:rPr>
                <w:rFonts w:hint="eastAsia" w:ascii="仿宋" w:hAnsi="仿宋" w:eastAsia="仿宋" w:cs="仿宋"/>
                <w:sz w:val="21"/>
                <w:szCs w:val="21"/>
                <w:lang w:val="en-US" w:eastAsia="zh-CN"/>
              </w:rPr>
              <w:t>1分，满分3分</w:t>
            </w:r>
            <w:r>
              <w:rPr>
                <w:rFonts w:hint="eastAsia" w:ascii="仿宋" w:hAnsi="仿宋" w:eastAsia="仿宋" w:cs="仿宋"/>
                <w:sz w:val="21"/>
                <w:szCs w:val="21"/>
                <w:lang w:eastAsia="zh-CN"/>
              </w:rPr>
              <w:t>）</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pacing w:val="-6"/>
                <w:sz w:val="21"/>
                <w:szCs w:val="21"/>
                <w:lang w:eastAsia="zh-CN"/>
              </w:rPr>
            </w:pPr>
            <w:r>
              <w:rPr>
                <w:rFonts w:hint="eastAsia" w:ascii="仿宋" w:hAnsi="仿宋" w:eastAsia="仿宋" w:cs="仿宋"/>
                <w:sz w:val="21"/>
                <w:szCs w:val="21"/>
              </w:rPr>
              <w:t>影片制作能力(2分)案例提供评分参考</w:t>
            </w:r>
            <w:r>
              <w:rPr>
                <w:rFonts w:hint="eastAsia" w:ascii="仿宋" w:hAnsi="仿宋" w:eastAsia="仿宋" w:cs="仿宋"/>
                <w:sz w:val="21"/>
                <w:szCs w:val="21"/>
                <w:lang w:eastAsia="zh-CN"/>
              </w:rPr>
              <w:t>。</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pacing w:val="-6"/>
                <w:sz w:val="21"/>
                <w:szCs w:val="21"/>
                <w:lang w:eastAsia="zh-CN"/>
              </w:rPr>
            </w:pPr>
            <w:r>
              <w:rPr>
                <w:rFonts w:hint="eastAsia" w:ascii="仿宋" w:hAnsi="仿宋" w:eastAsia="仿宋" w:cs="仿宋"/>
                <w:sz w:val="21"/>
                <w:szCs w:val="21"/>
              </w:rPr>
              <w:t>投标文件规范性、完整性(3分)</w:t>
            </w:r>
            <w:r>
              <w:rPr>
                <w:rFonts w:hint="eastAsia" w:ascii="仿宋" w:hAnsi="仿宋" w:eastAsia="仿宋" w:cs="仿宋"/>
                <w:sz w:val="21"/>
                <w:szCs w:val="21"/>
                <w:lang w:eastAsia="zh-CN"/>
              </w:rPr>
              <w:t>。</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pacing w:val="-6"/>
                <w:sz w:val="21"/>
                <w:szCs w:val="21"/>
                <w:lang w:eastAsia="zh-CN"/>
              </w:rPr>
            </w:pPr>
            <w:r>
              <w:rPr>
                <w:rFonts w:hint="eastAsia" w:ascii="仿宋" w:hAnsi="仿宋" w:eastAsia="仿宋" w:cs="仿宋"/>
                <w:sz w:val="21"/>
                <w:szCs w:val="21"/>
              </w:rPr>
              <w:t>按标书制作优劣情况打分(2分)</w:t>
            </w:r>
            <w:r>
              <w:rPr>
                <w:rFonts w:hint="eastAsia" w:ascii="仿宋" w:hAnsi="仿宋" w:eastAsia="仿宋" w:cs="仿宋"/>
                <w:sz w:val="21"/>
                <w:szCs w:val="21"/>
                <w:lang w:eastAsia="zh-CN"/>
              </w:rPr>
              <w:t>。</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lang w:eastAsia="zh-CN"/>
              </w:rPr>
            </w:pPr>
            <w:r>
              <w:rPr>
                <w:rFonts w:hint="eastAsia" w:ascii="仿宋" w:hAnsi="仿宋" w:eastAsia="仿宋" w:cs="仿宋"/>
                <w:sz w:val="21"/>
                <w:szCs w:val="21"/>
              </w:rPr>
              <w:t>公司荣誉或证书等(10分)提供荣誉或高新技术企业证书等</w:t>
            </w:r>
            <w:r>
              <w:rPr>
                <w:rFonts w:hint="eastAsia" w:ascii="仿宋" w:hAnsi="仿宋" w:eastAsia="仿宋" w:cs="仿宋"/>
                <w:sz w:val="21"/>
                <w:szCs w:val="21"/>
                <w:lang w:eastAsia="zh-CN"/>
              </w:rPr>
              <w:t>（有高新技术企业证书者获得满分）。</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restart"/>
            <w:noWrap w:val="0"/>
            <w:vAlign w:val="center"/>
          </w:tcPr>
          <w:p>
            <w:pPr>
              <w:shd w:val="clear"/>
              <w:rPr>
                <w:rFonts w:hint="eastAsia" w:ascii="仿宋" w:hAnsi="仿宋" w:eastAsia="仿宋" w:cs="仿宋"/>
                <w:sz w:val="21"/>
                <w:szCs w:val="21"/>
                <w:lang w:eastAsia="zh-CN"/>
              </w:rPr>
            </w:pPr>
            <w:r>
              <w:rPr>
                <w:rFonts w:hint="eastAsia" w:ascii="仿宋" w:hAnsi="仿宋" w:eastAsia="仿宋" w:cs="仿宋"/>
                <w:sz w:val="21"/>
                <w:szCs w:val="21"/>
              </w:rPr>
              <w:t>宣传片创意及影视技术应用</w:t>
            </w:r>
          </w:p>
        </w:tc>
        <w:tc>
          <w:tcPr>
            <w:tcW w:w="946" w:type="dxa"/>
            <w:vMerge w:val="restart"/>
            <w:noWrap w:val="0"/>
            <w:vAlign w:val="center"/>
          </w:tcPr>
          <w:p>
            <w:pPr>
              <w:snapToGrid w:val="0"/>
              <w:spacing w:line="360" w:lineRule="auto"/>
              <w:jc w:val="center"/>
              <w:rPr>
                <w:rFonts w:hint="eastAsia" w:ascii="仿宋" w:hAnsi="仿宋" w:eastAsia="仿宋" w:cs="仿宋"/>
                <w:sz w:val="21"/>
                <w:szCs w:val="21"/>
              </w:rPr>
            </w:pPr>
            <w:r>
              <w:rPr>
                <w:rFonts w:hint="eastAsia" w:ascii="仿宋" w:hAnsi="仿宋" w:eastAsia="仿宋" w:cs="仿宋"/>
                <w:spacing w:val="-6"/>
                <w:sz w:val="21"/>
                <w:szCs w:val="21"/>
                <w:lang w:val="en-US" w:eastAsia="zh-CN"/>
              </w:rPr>
              <w:t>30分</w:t>
            </w: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对本项目承诺有个性化特色的服务方案或优惠条款者(10分)</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策划创意(15分)熟悉医院各科室特色＼撰写分镜头脚本＼主题思路明确＼宣传片亮点</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画面＼音效及包装创意(3分)配音＼后期剪辑制作＼画面剪辑及特效包装＼音乐音效应用</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影视技术灵活运用展示(2分)拍摄场景安排＼人员安排＼演员及道具准备＼无人机技术支持</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restart"/>
            <w:noWrap w:val="0"/>
            <w:vAlign w:val="center"/>
          </w:tcPr>
          <w:p>
            <w:pPr>
              <w:shd w:val="clear"/>
              <w:rPr>
                <w:rFonts w:hint="eastAsia" w:ascii="仿宋" w:hAnsi="仿宋" w:eastAsia="仿宋" w:cs="仿宋"/>
                <w:sz w:val="21"/>
                <w:szCs w:val="21"/>
              </w:rPr>
            </w:pPr>
            <w:r>
              <w:rPr>
                <w:rFonts w:hint="eastAsia" w:ascii="仿宋" w:hAnsi="仿宋" w:eastAsia="仿宋" w:cs="仿宋"/>
                <w:sz w:val="21"/>
                <w:szCs w:val="21"/>
              </w:rPr>
              <w:t>设备技术支持</w:t>
            </w:r>
          </w:p>
          <w:p>
            <w:pPr>
              <w:shd w:val="clear"/>
              <w:rPr>
                <w:rFonts w:hint="eastAsia" w:ascii="仿宋" w:hAnsi="仿宋" w:eastAsia="仿宋" w:cs="仿宋"/>
                <w:sz w:val="21"/>
                <w:szCs w:val="21"/>
                <w:lang w:eastAsia="zh-CN"/>
              </w:rPr>
            </w:pPr>
          </w:p>
        </w:tc>
        <w:tc>
          <w:tcPr>
            <w:tcW w:w="946" w:type="dxa"/>
            <w:vMerge w:val="restart"/>
            <w:noWrap w:val="0"/>
            <w:vAlign w:val="center"/>
          </w:tcPr>
          <w:p>
            <w:pPr>
              <w:snapToGrid w:val="0"/>
              <w:spacing w:line="360" w:lineRule="auto"/>
              <w:jc w:val="center"/>
              <w:rPr>
                <w:rFonts w:hint="eastAsia" w:ascii="仿宋" w:hAnsi="仿宋" w:eastAsia="仿宋" w:cs="仿宋"/>
                <w:sz w:val="21"/>
                <w:szCs w:val="21"/>
              </w:rPr>
            </w:pPr>
            <w:r>
              <w:rPr>
                <w:rFonts w:hint="eastAsia" w:ascii="仿宋" w:hAnsi="仿宋" w:eastAsia="仿宋" w:cs="仿宋"/>
                <w:spacing w:val="-6"/>
                <w:sz w:val="21"/>
                <w:szCs w:val="21"/>
                <w:lang w:val="en-US" w:eastAsia="zh-CN"/>
              </w:rPr>
              <w:t>10分</w:t>
            </w: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宣传片拍摄设备(4分)４Ｋ高清电影机＼灯光设备＼４Ｋ无人机</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宣传片后期制作设备支持(4分)后期４Ｋ高清输出＼４Ｋ剪辑包装设备</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11" w:type="dxa"/>
            <w:vMerge w:val="continue"/>
            <w:noWrap w:val="0"/>
            <w:vAlign w:val="center"/>
          </w:tcPr>
          <w:p>
            <w:pPr>
              <w:adjustRightInd w:val="0"/>
              <w:snapToGrid w:val="0"/>
              <w:spacing w:line="360" w:lineRule="auto"/>
              <w:jc w:val="center"/>
              <w:rPr>
                <w:rFonts w:hint="eastAsia" w:ascii="仿宋" w:hAnsi="仿宋" w:eastAsia="仿宋" w:cs="仿宋"/>
                <w:spacing w:val="-6"/>
                <w:sz w:val="21"/>
                <w:szCs w:val="21"/>
              </w:rPr>
            </w:pPr>
          </w:p>
        </w:tc>
        <w:tc>
          <w:tcPr>
            <w:tcW w:w="1368" w:type="dxa"/>
            <w:vMerge w:val="continue"/>
            <w:noWrap w:val="0"/>
            <w:vAlign w:val="center"/>
          </w:tcPr>
          <w:p>
            <w:pPr>
              <w:shd w:val="clear"/>
              <w:rPr>
                <w:rFonts w:hint="eastAsia" w:ascii="仿宋" w:hAnsi="仿宋" w:eastAsia="仿宋" w:cs="仿宋"/>
                <w:sz w:val="21"/>
                <w:szCs w:val="21"/>
                <w:lang w:eastAsia="zh-CN"/>
              </w:rPr>
            </w:pPr>
          </w:p>
        </w:tc>
        <w:tc>
          <w:tcPr>
            <w:tcW w:w="946" w:type="dxa"/>
            <w:vMerge w:val="continue"/>
            <w:noWrap w:val="0"/>
            <w:vAlign w:val="center"/>
          </w:tcPr>
          <w:p>
            <w:pPr>
              <w:snapToGrid w:val="0"/>
              <w:spacing w:line="360" w:lineRule="auto"/>
              <w:jc w:val="center"/>
              <w:rPr>
                <w:rFonts w:hint="eastAsia" w:ascii="仿宋" w:hAnsi="仿宋" w:eastAsia="仿宋" w:cs="仿宋"/>
                <w:sz w:val="21"/>
                <w:szCs w:val="21"/>
              </w:rPr>
            </w:pPr>
          </w:p>
        </w:tc>
        <w:tc>
          <w:tcPr>
            <w:tcW w:w="4221" w:type="dxa"/>
            <w:noWrap w:val="0"/>
            <w:vAlign w:val="center"/>
          </w:tcPr>
          <w:p>
            <w:pPr>
              <w:rPr>
                <w:rFonts w:hint="eastAsia" w:ascii="仿宋" w:hAnsi="仿宋" w:eastAsia="仿宋" w:cs="仿宋"/>
                <w:sz w:val="21"/>
                <w:szCs w:val="21"/>
              </w:rPr>
            </w:pPr>
            <w:r>
              <w:rPr>
                <w:rFonts w:hint="eastAsia" w:ascii="仿宋" w:hAnsi="仿宋" w:eastAsia="仿宋" w:cs="仿宋"/>
                <w:sz w:val="21"/>
                <w:szCs w:val="21"/>
              </w:rPr>
              <w:t>针对医院特殊岗位场景拍摄的思路及技术支持(2分)服务岗位＼形象展示＼医院品牌画面展示</w:t>
            </w:r>
          </w:p>
        </w:tc>
        <w:tc>
          <w:tcPr>
            <w:tcW w:w="924" w:type="dxa"/>
            <w:noWrap w:val="0"/>
            <w:vAlign w:val="center"/>
          </w:tcPr>
          <w:p>
            <w:pPr>
              <w:adjustRightInd w:val="0"/>
              <w:snapToGrid w:val="0"/>
              <w:spacing w:line="360" w:lineRule="auto"/>
              <w:rPr>
                <w:rFonts w:hint="eastAsia" w:ascii="仿宋" w:hAnsi="仿宋" w:eastAsia="仿宋" w:cs="仿宋"/>
                <w:spacing w:val="-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679" w:type="dxa"/>
            <w:gridSpan w:val="2"/>
            <w:noWrap w:val="0"/>
            <w:vAlign w:val="center"/>
          </w:tcPr>
          <w:p>
            <w:pPr>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合计</w:t>
            </w:r>
          </w:p>
        </w:tc>
        <w:tc>
          <w:tcPr>
            <w:tcW w:w="946" w:type="dxa"/>
            <w:tcBorders>
              <w:bottom w:val="single" w:color="auto" w:sz="4" w:space="0"/>
            </w:tcBorders>
            <w:noWrap w:val="0"/>
            <w:vAlign w:val="center"/>
          </w:tcPr>
          <w:p>
            <w:pPr>
              <w:snapToGrid w:val="0"/>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=SUM(ABOVE) </w:instrText>
            </w:r>
            <w:r>
              <w:rPr>
                <w:rFonts w:hint="eastAsia" w:ascii="仿宋" w:hAnsi="仿宋" w:eastAsia="仿宋" w:cs="仿宋"/>
                <w:sz w:val="21"/>
                <w:szCs w:val="21"/>
              </w:rPr>
              <w:fldChar w:fldCharType="separate"/>
            </w:r>
            <w:r>
              <w:rPr>
                <w:rFonts w:hint="eastAsia" w:ascii="仿宋" w:hAnsi="仿宋" w:eastAsia="仿宋" w:cs="仿宋"/>
                <w:sz w:val="21"/>
                <w:szCs w:val="21"/>
              </w:rPr>
              <w:t>100</w:t>
            </w:r>
            <w:r>
              <w:rPr>
                <w:rFonts w:hint="eastAsia" w:ascii="仿宋" w:hAnsi="仿宋" w:eastAsia="仿宋" w:cs="仿宋"/>
                <w:sz w:val="21"/>
                <w:szCs w:val="21"/>
              </w:rPr>
              <w:fldChar w:fldCharType="end"/>
            </w:r>
            <w:r>
              <w:rPr>
                <w:rFonts w:hint="eastAsia" w:ascii="仿宋" w:hAnsi="仿宋" w:eastAsia="仿宋" w:cs="仿宋"/>
                <w:sz w:val="21"/>
                <w:szCs w:val="21"/>
                <w:lang w:val="en-US" w:eastAsia="zh-CN"/>
              </w:rPr>
              <w:t>分</w:t>
            </w:r>
          </w:p>
        </w:tc>
        <w:tc>
          <w:tcPr>
            <w:tcW w:w="4221" w:type="dxa"/>
            <w:tcBorders>
              <w:bottom w:val="single" w:color="auto" w:sz="4" w:space="0"/>
            </w:tcBorders>
            <w:noWrap w:val="0"/>
            <w:vAlign w:val="center"/>
          </w:tcPr>
          <w:p>
            <w:pPr>
              <w:adjustRightInd w:val="0"/>
              <w:snapToGrid w:val="0"/>
              <w:spacing w:line="360" w:lineRule="auto"/>
              <w:jc w:val="center"/>
              <w:rPr>
                <w:rFonts w:hint="eastAsia" w:ascii="仿宋" w:hAnsi="仿宋" w:eastAsia="仿宋" w:cs="仿宋"/>
                <w:sz w:val="21"/>
                <w:szCs w:val="21"/>
              </w:rPr>
            </w:pPr>
          </w:p>
        </w:tc>
        <w:tc>
          <w:tcPr>
            <w:tcW w:w="924" w:type="dxa"/>
            <w:tcBorders>
              <w:bottom w:val="single" w:color="auto" w:sz="4" w:space="0"/>
            </w:tcBorders>
            <w:noWrap w:val="0"/>
            <w:vAlign w:val="center"/>
          </w:tcPr>
          <w:p>
            <w:pPr>
              <w:adjustRightInd w:val="0"/>
              <w:snapToGrid w:val="0"/>
              <w:spacing w:line="360" w:lineRule="auto"/>
              <w:rPr>
                <w:rFonts w:hint="eastAsia" w:ascii="仿宋" w:hAnsi="仿宋" w:eastAsia="仿宋" w:cs="仿宋"/>
                <w:sz w:val="21"/>
                <w:szCs w:val="21"/>
              </w:rPr>
            </w:pPr>
          </w:p>
        </w:tc>
      </w:tr>
    </w:tbl>
    <w:p>
      <w:pPr>
        <w:pStyle w:val="7"/>
        <w:rPr>
          <w:rFonts w:hint="eastAsia"/>
        </w:rPr>
      </w:pPr>
      <w:bookmarkStart w:id="2" w:name="_GoBack"/>
      <w:bookmarkEnd w:id="2"/>
    </w:p>
    <w:sectPr>
      <w:pgSz w:w="11906" w:h="16838"/>
      <w:pgMar w:top="1417" w:right="158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465E1"/>
    <w:rsid w:val="15AD74C1"/>
    <w:rsid w:val="22715611"/>
    <w:rsid w:val="2EF063E3"/>
    <w:rsid w:val="32640E17"/>
    <w:rsid w:val="3A172ADE"/>
    <w:rsid w:val="3C4F1EDB"/>
    <w:rsid w:val="3C553E3E"/>
    <w:rsid w:val="4568258D"/>
    <w:rsid w:val="46625AF3"/>
    <w:rsid w:val="470D5041"/>
    <w:rsid w:val="4A3E0701"/>
    <w:rsid w:val="4DF93FFE"/>
    <w:rsid w:val="4FFB161F"/>
    <w:rsid w:val="54012387"/>
    <w:rsid w:val="5F8F7C7B"/>
    <w:rsid w:val="662E0E70"/>
    <w:rsid w:val="681E377A"/>
    <w:rsid w:val="689C078D"/>
    <w:rsid w:val="69753786"/>
    <w:rsid w:val="6E0B3E0C"/>
    <w:rsid w:val="700523FB"/>
    <w:rsid w:val="74281810"/>
    <w:rsid w:val="7A953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spacing w:after="120"/>
      <w:ind w:left="420" w:leftChars="200" w:firstLine="420" w:firstLineChars="200"/>
    </w:pPr>
    <w:rPr>
      <w:sz w:val="30"/>
      <w:szCs w:val="22"/>
    </w:rPr>
  </w:style>
  <w:style w:type="paragraph" w:styleId="3">
    <w:name w:val="Body Text Indent"/>
    <w:basedOn w:val="1"/>
    <w:qFormat/>
    <w:uiPriority w:val="0"/>
    <w:pPr>
      <w:spacing w:after="120"/>
      <w:ind w:left="420" w:leftChars="200"/>
    </w:pPr>
  </w:style>
  <w:style w:type="paragraph" w:styleId="4">
    <w:name w:val="Normal Indent"/>
    <w:basedOn w:val="1"/>
    <w:qFormat/>
    <w:uiPriority w:val="0"/>
    <w:pPr>
      <w:ind w:firstLine="420"/>
    </w:pPr>
    <w:rPr>
      <w:sz w:val="21"/>
      <w:szCs w:val="20"/>
    </w:rPr>
  </w:style>
  <w:style w:type="paragraph" w:styleId="5">
    <w:name w:val="Plain Text"/>
    <w:basedOn w:val="1"/>
    <w:qFormat/>
    <w:uiPriority w:val="0"/>
    <w:rPr>
      <w:rFonts w:ascii="宋体" w:hAnsi="Courier New"/>
      <w:sz w:val="21"/>
      <w:szCs w:val="20"/>
    </w:rPr>
  </w:style>
  <w:style w:type="paragraph" w:styleId="6">
    <w:name w:val="Body Text Indent 2"/>
    <w:basedOn w:val="1"/>
    <w:qFormat/>
    <w:uiPriority w:val="0"/>
    <w:pPr>
      <w:spacing w:line="480" w:lineRule="auto"/>
      <w:ind w:firstLine="540" w:firstLineChars="225"/>
    </w:pPr>
    <w:rPr>
      <w:rFonts w:ascii="Calibri" w:hAnsi="Calibri" w:eastAsia="仿宋_GB2312" w:cs="Times New Roman"/>
      <w:kern w:val="2"/>
      <w:sz w:val="24"/>
      <w:szCs w:val="24"/>
    </w:rPr>
  </w:style>
  <w:style w:type="paragraph" w:styleId="7">
    <w:name w:val="toc 1"/>
    <w:basedOn w:val="1"/>
    <w:next w:val="1"/>
    <w:semiHidden/>
    <w:unhideWhenUsed/>
    <w:qFormat/>
    <w:uiPriority w:val="39"/>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2023-07-27T03:36:00Z</dcterms:created>
  <dc:creator>Administrator</dc:creator>
  <cp:lastModifiedBy>Administrator</cp:lastModifiedBy>
  <cp:lastPrinted>2023-09-07T01:17:00Z</cp:lastPrinted>
  <dcterms:modified xsi:type="dcterms:W3CDTF">2023-09-07T07:18:32Z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