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spacing w:before="240" w:after="240" w:line="360" w:lineRule="auto"/>
        <w:ind w:leftChars="0"/>
        <w:jc w:val="center"/>
        <w:outlineLvl w:val="0"/>
        <w:rPr>
          <w:rFonts w:hint="eastAsia" w:ascii="仿宋_GB2312" w:hAnsi="仿宋_GB2312" w:eastAsia="仿宋_GB2312" w:cs="仿宋_GB2312"/>
          <w:b/>
          <w:color w:val="auto"/>
          <w:sz w:val="40"/>
          <w:szCs w:val="40"/>
          <w:highlight w:val="none"/>
        </w:rPr>
      </w:pPr>
      <w:r>
        <w:rPr>
          <w:rFonts w:hint="eastAsia" w:ascii="仿宋_GB2312" w:hAnsi="仿宋_GB2312" w:eastAsia="仿宋_GB2312" w:cs="仿宋_GB2312"/>
          <w:b/>
          <w:color w:val="auto"/>
          <w:sz w:val="40"/>
          <w:szCs w:val="40"/>
          <w:highlight w:val="none"/>
          <w:lang w:eastAsia="zh-CN"/>
        </w:rPr>
        <w:t>项目</w:t>
      </w:r>
      <w:r>
        <w:rPr>
          <w:rFonts w:hint="eastAsia" w:ascii="仿宋_GB2312" w:hAnsi="仿宋_GB2312" w:eastAsia="仿宋_GB2312" w:cs="仿宋_GB2312"/>
          <w:b/>
          <w:color w:val="auto"/>
          <w:sz w:val="40"/>
          <w:szCs w:val="40"/>
          <w:highlight w:val="none"/>
        </w:rPr>
        <w:t>需求</w:t>
      </w:r>
      <w:bookmarkStart w:id="0" w:name="_Hlk40259505"/>
    </w:p>
    <w:bookmarkEnd w:id="0"/>
    <w:p>
      <w:pPr>
        <w:pStyle w:val="4"/>
        <w:widowControl/>
        <w:spacing w:before="0" w:beforeAutospacing="0" w:after="0" w:afterAutospacing="0"/>
        <w:rPr>
          <w:rFonts w:hint="eastAsia" w:ascii="仿宋_GB2312" w:hAnsi="仿宋_GB2312" w:eastAsia="仿宋_GB2312" w:cs="仿宋_GB2312"/>
          <w:b/>
          <w:bCs w:val="0"/>
          <w:color w:val="auto"/>
          <w:sz w:val="28"/>
          <w:szCs w:val="28"/>
          <w:highlight w:val="none"/>
          <w:lang w:val="en-US" w:eastAsia="zh-CN"/>
        </w:rPr>
      </w:pPr>
      <w:r>
        <w:rPr>
          <w:rFonts w:hint="eastAsia" w:ascii="仿宋_GB2312" w:hAnsi="仿宋_GB2312" w:eastAsia="仿宋_GB2312" w:cs="仿宋_GB2312"/>
          <w:b/>
          <w:bCs w:val="0"/>
          <w:color w:val="auto"/>
          <w:sz w:val="28"/>
          <w:szCs w:val="28"/>
          <w:highlight w:val="none"/>
          <w:lang w:val="en-US" w:eastAsia="zh-CN"/>
        </w:rPr>
        <w:t xml:space="preserve">项目概述 </w:t>
      </w:r>
    </w:p>
    <w:p>
      <w:pPr>
        <w:pStyle w:val="4"/>
        <w:widowControl/>
        <w:spacing w:before="0" w:beforeAutospacing="0" w:after="0" w:afterAutospacing="0"/>
        <w:rPr>
          <w:rFonts w:hint="eastAsia" w:ascii="仿宋_GB2312" w:hAnsi="仿宋_GB2312" w:eastAsia="仿宋_GB2312" w:cs="仿宋_GB2312"/>
          <w:bCs/>
          <w:color w:val="auto"/>
          <w:sz w:val="28"/>
          <w:szCs w:val="28"/>
          <w:highlight w:val="none"/>
          <w:lang w:val="en-US" w:eastAsia="zh-CN"/>
        </w:rPr>
      </w:pPr>
      <w:r>
        <w:rPr>
          <w:rFonts w:hint="eastAsia" w:ascii="仿宋_GB2312" w:hAnsi="仿宋_GB2312" w:eastAsia="仿宋_GB2312" w:cs="仿宋_GB2312"/>
          <w:bCs/>
          <w:color w:val="auto"/>
          <w:sz w:val="28"/>
          <w:szCs w:val="28"/>
          <w:highlight w:val="none"/>
          <w:lang w:val="en-US" w:eastAsia="zh-CN"/>
        </w:rPr>
        <w:t>1.项目名称：医疗废物清运服务。</w:t>
      </w:r>
      <w:bookmarkStart w:id="1" w:name="_GoBack"/>
      <w:bookmarkEnd w:id="1"/>
    </w:p>
    <w:p>
      <w:pPr>
        <w:pStyle w:val="4"/>
        <w:widowControl/>
        <w:spacing w:before="0" w:beforeAutospacing="0" w:after="0" w:afterAutospacing="0"/>
        <w:rPr>
          <w:rFonts w:hint="eastAsia" w:ascii="仿宋_GB2312" w:hAnsi="仿宋_GB2312" w:eastAsia="仿宋_GB2312" w:cs="仿宋_GB2312"/>
          <w:bCs/>
          <w:color w:val="auto"/>
          <w:sz w:val="28"/>
          <w:szCs w:val="28"/>
          <w:highlight w:val="none"/>
          <w:lang w:val="en-US" w:eastAsia="zh-CN"/>
        </w:rPr>
      </w:pPr>
      <w:r>
        <w:rPr>
          <w:rFonts w:hint="eastAsia" w:ascii="仿宋_GB2312" w:hAnsi="仿宋_GB2312" w:eastAsia="仿宋_GB2312" w:cs="仿宋_GB2312"/>
          <w:bCs/>
          <w:color w:val="auto"/>
          <w:sz w:val="28"/>
          <w:szCs w:val="28"/>
          <w:highlight w:val="none"/>
          <w:lang w:val="en-US" w:eastAsia="zh-CN"/>
        </w:rPr>
        <w:t>2.最高限价：13万元。</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b/>
          <w:bCs w:val="0"/>
          <w:color w:val="auto"/>
          <w:sz w:val="28"/>
          <w:szCs w:val="28"/>
          <w:highlight w:val="none"/>
          <w:lang w:val="en-US" w:eastAsia="zh-CN"/>
        </w:rPr>
      </w:pPr>
      <w:r>
        <w:rPr>
          <w:rFonts w:hint="eastAsia" w:ascii="仿宋_GB2312" w:hAnsi="仿宋_GB2312" w:eastAsia="仿宋_GB2312" w:cs="仿宋_GB2312"/>
          <w:bCs/>
          <w:color w:val="auto"/>
          <w:sz w:val="28"/>
          <w:szCs w:val="28"/>
          <w:highlight w:val="none"/>
          <w:lang w:val="en-US" w:eastAsia="zh-CN"/>
        </w:rPr>
        <w:t>3.合同履行期限：签订合同后一年.</w:t>
      </w:r>
    </w:p>
    <w:p>
      <w:pPr>
        <w:pStyle w:val="4"/>
        <w:widowControl/>
        <w:spacing w:before="0" w:beforeAutospacing="0" w:after="0" w:afterAutospacing="0"/>
        <w:rPr>
          <w:rFonts w:hint="eastAsia" w:ascii="仿宋_GB2312" w:hAnsi="仿宋_GB2312" w:eastAsia="仿宋_GB2312" w:cs="仿宋_GB2312"/>
          <w:b/>
          <w:bCs w:val="0"/>
          <w:color w:val="auto"/>
          <w:sz w:val="28"/>
          <w:szCs w:val="28"/>
          <w:highlight w:val="none"/>
          <w:lang w:val="en-US" w:eastAsia="zh-CN"/>
        </w:rPr>
      </w:pPr>
      <w:r>
        <w:rPr>
          <w:rFonts w:hint="eastAsia" w:ascii="仿宋_GB2312" w:hAnsi="仿宋_GB2312" w:eastAsia="仿宋_GB2312" w:cs="仿宋_GB2312"/>
          <w:b/>
          <w:bCs w:val="0"/>
          <w:color w:val="auto"/>
          <w:sz w:val="28"/>
          <w:szCs w:val="28"/>
          <w:highlight w:val="none"/>
          <w:lang w:val="en-US" w:eastAsia="zh-CN"/>
        </w:rPr>
        <w:t xml:space="preserve">服务清单 </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一、</w:t>
      </w:r>
      <w:r>
        <w:rPr>
          <w:rFonts w:hint="eastAsia" w:ascii="仿宋_GB2312" w:hAnsi="仿宋_GB2312" w:eastAsia="仿宋_GB2312" w:cs="仿宋_GB2312"/>
          <w:color w:val="auto"/>
          <w:sz w:val="28"/>
          <w:szCs w:val="28"/>
        </w:rPr>
        <w:t>负责处置</w:t>
      </w:r>
      <w:r>
        <w:rPr>
          <w:rFonts w:hint="eastAsia" w:ascii="仿宋_GB2312" w:hAnsi="仿宋_GB2312" w:eastAsia="仿宋_GB2312" w:cs="仿宋_GB2312"/>
          <w:color w:val="auto"/>
          <w:sz w:val="28"/>
          <w:szCs w:val="28"/>
          <w:lang w:val="en-US" w:eastAsia="zh-CN"/>
        </w:rPr>
        <w:t>我院</w:t>
      </w:r>
      <w:r>
        <w:rPr>
          <w:rFonts w:hint="eastAsia" w:ascii="仿宋_GB2312" w:hAnsi="仿宋_GB2312" w:eastAsia="仿宋_GB2312" w:cs="仿宋_GB2312"/>
          <w:color w:val="auto"/>
          <w:sz w:val="28"/>
          <w:szCs w:val="28"/>
        </w:rPr>
        <w:t>在经营活动中产生的感染性、损伤性、病理性医疗废物。</w:t>
      </w:r>
      <w:r>
        <w:rPr>
          <w:rFonts w:hint="eastAsia" w:ascii="仿宋_GB2312" w:hAnsi="仿宋_GB2312" w:eastAsia="仿宋_GB2312" w:cs="仿宋_GB2312"/>
          <w:color w:val="auto"/>
          <w:sz w:val="28"/>
          <w:szCs w:val="28"/>
          <w:lang w:val="en-US" w:eastAsia="zh-CN"/>
        </w:rPr>
        <w:t>根据医疗废物管理条例规定48小时内到我院收集转运一次。</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1、感染性废物：携带病原微生物具有引发感染性疾病传播危险的医疗废物。</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①被病人血液、体液、排泄物污染的物品，包括：</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a、棉球、棉签、引流棉条、纱布及其他各种敷料。</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b、使用后的一次性使用卫生用品、一次性使用医疗用品及一次性医疗器械。</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c、废弃的被服；</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d、其他被病人血液、体液、排泄物污染的物品；</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②医疗机构收治的隔离传染病病人或者疑似传染病病人产生的生活垃圾；</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③病原体的培养基、各种废弃的医学标本和菌种、毒种保存液；</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④废弃的血液、血清。</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2、病理性废物：诊疗过程中产生的人体废弃物和医学实验动物尸体等。</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①手术及其他诊疗过程中产生的废弃的人体组织、器官等。</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②医学实验动物的组织、尸体。</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③病理切片后废弃的人体组织、病理腊块等。</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①医用针头、缝合针。</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②各类医用锐器，包括：解剖刀、手术刀、备皮刀、手术锯等。</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③载玻片、玻璃试管、玻璃安瓿等。</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二、负责到我院医疗废物暂存场地接收并运输至我方处置场所。</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三、确保在运输我院医疗废物过程中不产生对环境的二次污染，医疗废物处置符合国家相关技术要求。</w:t>
      </w:r>
    </w:p>
    <w:p>
      <w:pPr>
        <w:pStyle w:val="5"/>
        <w:ind w:left="0" w:leftChars="0" w:firstLine="0" w:firstLineChars="0"/>
        <w:rPr>
          <w:rFonts w:hint="eastAsia" w:ascii="仿宋_GB2312" w:hAnsi="仿宋_GB2312" w:eastAsia="仿宋_GB2312" w:cs="仿宋_GB2312"/>
          <w:color w:val="auto"/>
        </w:rPr>
      </w:pPr>
      <w:r>
        <w:rPr>
          <w:rFonts w:hint="eastAsia" w:ascii="仿宋_GB2312" w:hAnsi="仿宋_GB2312" w:eastAsia="仿宋_GB2312" w:cs="仿宋_GB2312"/>
          <w:color w:val="auto"/>
          <w:sz w:val="28"/>
          <w:szCs w:val="28"/>
          <w:lang w:val="en-US" w:eastAsia="zh-CN"/>
        </w:rPr>
        <w:t>四、双方必须执行危险废物转移联单制度，并办理相关手续。双方交接时按规定填写《危险废物转移联单》（医疗废物专用），分别保存。</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50"/>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2A3C0C"/>
    <w:rsid w:val="292A3C0C"/>
    <w:rsid w:val="6EF41B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szCs w:val="24"/>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customStyle="1" w:styleId="2">
    <w:name w:val="_Style 3"/>
    <w:basedOn w:val="1"/>
    <w:next w:val="1"/>
    <w:qFormat/>
    <w:uiPriority w:val="0"/>
    <w:pPr>
      <w:spacing w:line="360" w:lineRule="auto"/>
      <w:ind w:firstLine="420" w:firstLineChars="200"/>
    </w:pPr>
    <w:rPr>
      <w:rFonts w:ascii="Calibri" w:hAnsi="Calibri" w:cs="宋体"/>
      <w:sz w:val="24"/>
    </w:rPr>
  </w:style>
  <w:style w:type="paragraph" w:styleId="3">
    <w:name w:val="Body Text Indent"/>
    <w:basedOn w:val="1"/>
    <w:qFormat/>
    <w:uiPriority w:val="0"/>
    <w:pPr>
      <w:ind w:firstLine="480" w:firstLineChars="200"/>
    </w:pPr>
    <w:rPr>
      <w:rFonts w:ascii="宋体" w:hAnsi="宋体"/>
      <w:sz w:val="24"/>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5">
    <w:name w:val="Body Text First Indent 2"/>
    <w:basedOn w:val="3"/>
    <w:unhideWhenUsed/>
    <w:qFormat/>
    <w:uiPriority w:val="99"/>
    <w:pPr>
      <w:spacing w:after="0" w:line="360" w:lineRule="auto"/>
      <w:ind w:left="0" w:firstLine="420" w:firstLineChars="200"/>
    </w:pPr>
    <w:rPr>
      <w:rFonts w:eastAsia="仿宋_GB2312"/>
      <w:spacing w:val="15"/>
      <w:kern w:val="1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2024-09-29T02:35:00Z</dcterms:created>
  <dc:creator>现实</dc:creator>
  <cp:lastModifiedBy>现实</cp:lastModifiedBy>
  <dcterms:modified xsi:type="dcterms:W3CDTF">2024-09-29T02:36:56Z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