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6"/>
          <w:szCs w:val="36"/>
        </w:rPr>
      </w:pPr>
      <w:r>
        <w:rPr>
          <w:rFonts w:hint="eastAsia" w:ascii="黑体" w:hAnsi="黑体" w:eastAsia="黑体"/>
          <w:sz w:val="36"/>
          <w:szCs w:val="36"/>
          <w:lang w:eastAsia="zh-CN"/>
        </w:rPr>
        <w:t>第三方满意度测评</w:t>
      </w:r>
      <w:r>
        <w:rPr>
          <w:rFonts w:hint="eastAsia" w:ascii="黑体" w:hAnsi="黑体" w:eastAsia="黑体"/>
          <w:sz w:val="36"/>
          <w:szCs w:val="36"/>
        </w:rPr>
        <w:t>项目采购需求</w:t>
      </w:r>
    </w:p>
    <w:p>
      <w:pPr>
        <w:spacing w:line="400" w:lineRule="exact"/>
        <w:ind w:firstLine="480" w:firstLineChars="200"/>
        <w:rPr>
          <w:rFonts w:ascii="宋体" w:hAnsi="宋体" w:cs="宋体"/>
          <w:bCs/>
          <w:sz w:val="24"/>
          <w:szCs w:val="24"/>
          <w:lang w:bidi="ar-EG"/>
        </w:rPr>
      </w:pPr>
    </w:p>
    <w:p>
      <w:pPr>
        <w:adjustRightInd w:val="0"/>
        <w:snapToGrid w:val="0"/>
        <w:spacing w:line="360" w:lineRule="auto"/>
        <w:ind w:firstLine="560" w:firstLineChars="200"/>
        <w:rPr>
          <w:rFonts w:ascii="黑体" w:hAnsi="黑体" w:eastAsia="黑体" w:cs="宋体"/>
          <w:bCs/>
          <w:sz w:val="28"/>
          <w:szCs w:val="28"/>
          <w:lang w:bidi="ar-EG"/>
        </w:rPr>
      </w:pPr>
      <w:r>
        <w:rPr>
          <w:rFonts w:hint="eastAsia" w:ascii="黑体" w:hAnsi="黑体" w:eastAsia="黑体" w:cs="宋体"/>
          <w:bCs/>
          <w:sz w:val="28"/>
          <w:szCs w:val="28"/>
          <w:lang w:bidi="ar-EG"/>
        </w:rPr>
        <w:t>一、项目概况</w:t>
      </w:r>
    </w:p>
    <w:p>
      <w:pPr>
        <w:widowControl/>
        <w:adjustRightInd w:val="0"/>
        <w:snapToGrid w:val="0"/>
        <w:spacing w:line="360" w:lineRule="auto"/>
        <w:ind w:firstLine="560" w:firstLineChars="200"/>
        <w:rPr>
          <w:rFonts w:hint="eastAsia" w:ascii="仿宋" w:hAnsi="仿宋" w:eastAsia="仿宋" w:cs="宋体"/>
          <w:bCs/>
          <w:color w:val="000000" w:themeColor="text1"/>
          <w:kern w:val="0"/>
          <w:sz w:val="28"/>
          <w:szCs w:val="28"/>
        </w:rPr>
      </w:pPr>
      <w:r>
        <w:rPr>
          <w:rFonts w:hint="eastAsia" w:ascii="仿宋" w:hAnsi="仿宋" w:eastAsia="仿宋" w:cs="宋体"/>
          <w:bCs/>
          <w:color w:val="000000" w:themeColor="text1"/>
          <w:kern w:val="0"/>
          <w:sz w:val="28"/>
          <w:szCs w:val="28"/>
          <w:lang w:eastAsia="zh-CN"/>
        </w:rPr>
        <w:t>目前</w:t>
      </w:r>
      <w:r>
        <w:rPr>
          <w:rFonts w:hint="eastAsia" w:ascii="仿宋" w:hAnsi="仿宋" w:eastAsia="仿宋" w:cs="宋体"/>
          <w:bCs/>
          <w:color w:val="000000" w:themeColor="text1"/>
          <w:kern w:val="0"/>
          <w:sz w:val="28"/>
          <w:szCs w:val="28"/>
        </w:rPr>
        <w:t>患者满意度和医务人员满意度调查已成为用于政府部门、医院、医务人员及患者对医疗质量评价的重要依据。患者满意度是患者及其家属对医院服务的实际感知质量与预期质量对比程度的评价，是全面了解医院医疗服务质量、医德医风等情况的重要尺度。</w:t>
      </w:r>
    </w:p>
    <w:p>
      <w:pPr>
        <w:adjustRightInd w:val="0"/>
        <w:snapToGrid w:val="0"/>
        <w:spacing w:line="360" w:lineRule="auto"/>
        <w:ind w:firstLine="560" w:firstLineChars="200"/>
        <w:rPr>
          <w:rFonts w:ascii="黑体" w:hAnsi="黑体" w:eastAsia="黑体" w:cs="宋体"/>
          <w:bCs/>
          <w:sz w:val="28"/>
          <w:szCs w:val="28"/>
          <w:lang w:bidi="ar-EG"/>
        </w:rPr>
      </w:pPr>
      <w:r>
        <w:rPr>
          <w:rFonts w:hint="eastAsia" w:ascii="黑体" w:hAnsi="黑体" w:eastAsia="黑体" w:cs="宋体"/>
          <w:bCs/>
          <w:sz w:val="28"/>
          <w:szCs w:val="28"/>
          <w:lang w:bidi="ar-EG"/>
        </w:rPr>
        <w:t>二、项目目标</w:t>
      </w:r>
    </w:p>
    <w:p>
      <w:pPr>
        <w:widowControl/>
        <w:adjustRightInd w:val="0"/>
        <w:snapToGrid w:val="0"/>
        <w:spacing w:line="360" w:lineRule="auto"/>
        <w:ind w:firstLine="560" w:firstLineChars="200"/>
        <w:rPr>
          <w:rFonts w:hint="eastAsia" w:ascii="仿宋" w:hAnsi="仿宋" w:eastAsia="仿宋" w:cs="宋体"/>
          <w:bCs/>
          <w:color w:val="000000" w:themeColor="text1"/>
          <w:kern w:val="0"/>
          <w:sz w:val="28"/>
          <w:szCs w:val="28"/>
        </w:rPr>
      </w:pPr>
      <w:r>
        <w:rPr>
          <w:rFonts w:hint="eastAsia" w:ascii="仿宋" w:hAnsi="仿宋" w:eastAsia="仿宋" w:cs="宋体"/>
          <w:bCs/>
          <w:color w:val="000000" w:themeColor="text1"/>
          <w:kern w:val="0"/>
          <w:sz w:val="28"/>
          <w:szCs w:val="28"/>
        </w:rPr>
        <w:t>医院借助第三方患者满意度调查测评，能够以最短时间通过市场调查，准确了解患者对各科室服务的满意度情况，为未来服务的改善和提升奠定基础；加强日常监督管理工作，了解员工思想动态及对医院各项工作的满意度，提升员工工作积极性，更好的为患者服务。</w:t>
      </w:r>
    </w:p>
    <w:p>
      <w:pPr>
        <w:adjustRightInd w:val="0"/>
        <w:snapToGrid w:val="0"/>
        <w:spacing w:line="360" w:lineRule="auto"/>
        <w:ind w:firstLine="560" w:firstLineChars="200"/>
        <w:rPr>
          <w:rFonts w:ascii="黑体" w:hAnsi="黑体" w:eastAsia="黑体" w:cs="宋体"/>
          <w:bCs/>
          <w:sz w:val="28"/>
          <w:szCs w:val="28"/>
          <w:lang w:bidi="ar-EG"/>
        </w:rPr>
      </w:pPr>
      <w:r>
        <w:rPr>
          <w:rFonts w:hint="eastAsia" w:ascii="黑体" w:hAnsi="黑体" w:eastAsia="黑体" w:cs="宋体"/>
          <w:bCs/>
          <w:sz w:val="28"/>
          <w:szCs w:val="28"/>
          <w:lang w:bidi="ar-EG"/>
        </w:rPr>
        <w:t>三、项目服务期限</w:t>
      </w:r>
    </w:p>
    <w:p>
      <w:pPr>
        <w:widowControl/>
        <w:adjustRightInd w:val="0"/>
        <w:snapToGrid w:val="0"/>
        <w:spacing w:line="360" w:lineRule="auto"/>
        <w:ind w:firstLine="560" w:firstLineChars="200"/>
        <w:rPr>
          <w:rFonts w:ascii="仿宋" w:hAnsi="仿宋" w:eastAsia="仿宋" w:cs="仿宋"/>
          <w:color w:val="000000" w:themeColor="text1"/>
          <w:spacing w:val="8"/>
          <w:kern w:val="0"/>
          <w:sz w:val="28"/>
          <w:szCs w:val="28"/>
        </w:rPr>
      </w:pPr>
      <w:r>
        <w:rPr>
          <w:rFonts w:hint="eastAsia" w:ascii="仿宋" w:hAnsi="仿宋" w:eastAsia="仿宋" w:cs="宋体"/>
          <w:bCs/>
          <w:color w:val="000000" w:themeColor="text1"/>
          <w:kern w:val="0"/>
          <w:sz w:val="28"/>
          <w:szCs w:val="28"/>
          <w:lang w:val="en-US" w:eastAsia="zh-CN"/>
        </w:rPr>
        <w:t>合同履行期限：</w:t>
      </w:r>
      <w:r>
        <w:rPr>
          <w:rFonts w:hint="eastAsia" w:ascii="仿宋" w:hAnsi="仿宋" w:eastAsia="仿宋" w:cs="仿宋"/>
          <w:color w:val="000000" w:themeColor="text1"/>
          <w:spacing w:val="8"/>
          <w:kern w:val="0"/>
          <w:sz w:val="28"/>
          <w:szCs w:val="28"/>
          <w:lang w:eastAsia="zh-CN"/>
        </w:rPr>
        <w:t>一年（合同签订之日起1年，合同为1年1签，每期合同到期后，若采购人对供应商合同期间服务内容无异议，且双方均有继续合作的意愿，经双方协商一致，可通过续签合同的方法继续进行下一年度工作的合作，该合同最多可续签两次。若采购人对合同期间服务内容有异议，可终止合同或重新招标）</w:t>
      </w:r>
    </w:p>
    <w:p>
      <w:pPr>
        <w:numPr>
          <w:ilvl w:val="0"/>
          <w:numId w:val="2"/>
        </w:numPr>
        <w:adjustRightInd w:val="0"/>
        <w:snapToGrid w:val="0"/>
        <w:spacing w:line="360" w:lineRule="auto"/>
        <w:ind w:firstLine="560" w:firstLineChars="200"/>
        <w:rPr>
          <w:rFonts w:hint="eastAsia" w:ascii="黑体" w:hAnsi="黑体" w:eastAsia="黑体" w:cs="宋体"/>
          <w:bCs/>
          <w:sz w:val="28"/>
          <w:szCs w:val="28"/>
          <w:lang w:bidi="ar-EG"/>
        </w:rPr>
      </w:pPr>
      <w:r>
        <w:rPr>
          <w:rFonts w:hint="eastAsia" w:ascii="黑体" w:hAnsi="黑体" w:eastAsia="黑体" w:cs="宋体"/>
          <w:bCs/>
          <w:sz w:val="28"/>
          <w:szCs w:val="28"/>
          <w:lang w:bidi="ar-EG"/>
        </w:rPr>
        <w:t>项目服务方式</w:t>
      </w:r>
    </w:p>
    <w:p>
      <w:pPr>
        <w:pStyle w:val="7"/>
        <w:numPr>
          <w:ilvl w:val="0"/>
          <w:numId w:val="0"/>
        </w:numPr>
        <w:ind w:firstLine="420" w:firstLineChars="0"/>
        <w:rPr>
          <w:rFonts w:hint="eastAsia" w:ascii="仿宋" w:hAnsi="仿宋" w:eastAsia="仿宋" w:cs="宋体"/>
          <w:bCs/>
          <w:color w:val="000000" w:themeColor="text1"/>
          <w:kern w:val="0"/>
          <w:sz w:val="28"/>
          <w:szCs w:val="28"/>
          <w:lang w:val="en-US" w:eastAsia="zh-CN" w:bidi="ar-SA"/>
        </w:rPr>
      </w:pPr>
      <w:r>
        <w:rPr>
          <w:rFonts w:hint="eastAsia" w:ascii="仿宋" w:hAnsi="仿宋" w:eastAsia="仿宋" w:cs="宋体"/>
          <w:bCs/>
          <w:color w:val="000000" w:themeColor="text1"/>
          <w:kern w:val="0"/>
          <w:sz w:val="28"/>
          <w:szCs w:val="28"/>
          <w:lang w:val="en-US" w:eastAsia="zh-CN" w:bidi="ar-SA"/>
        </w:rPr>
        <w:t>第三方公司负责开展医院“第三方社会调查与评价”的调研工作，每季度为一期，每期根据调研结果，出具专业的综合性测评分析报告，报告涵盖调研数据、分析内容。执行方式包括面对面访问、电话访问、二维码扫码形式等。</w:t>
      </w:r>
    </w:p>
    <w:p>
      <w:pPr>
        <w:widowControl/>
        <w:adjustRightInd w:val="0"/>
        <w:snapToGrid w:val="0"/>
        <w:spacing w:line="360" w:lineRule="auto"/>
        <w:ind w:firstLine="560" w:firstLineChars="200"/>
        <w:rPr>
          <w:rFonts w:hint="eastAsia" w:ascii="仿宋" w:hAnsi="仿宋" w:eastAsia="仿宋" w:cs="宋体"/>
          <w:color w:val="000000" w:themeColor="text1"/>
          <w:spacing w:val="8"/>
          <w:kern w:val="0"/>
          <w:sz w:val="28"/>
          <w:szCs w:val="28"/>
          <w:highlight w:val="none"/>
          <w:lang w:val="en-US" w:eastAsia="zh-CN"/>
        </w:rPr>
      </w:pPr>
      <w:r>
        <w:rPr>
          <w:rFonts w:hint="eastAsia" w:ascii="黑体" w:hAnsi="黑体" w:eastAsia="黑体" w:cs="宋体"/>
          <w:bCs/>
          <w:sz w:val="28"/>
          <w:szCs w:val="28"/>
          <w:lang w:eastAsia="zh-CN" w:bidi="ar-EG"/>
        </w:rPr>
        <w:t>五</w:t>
      </w:r>
      <w:r>
        <w:rPr>
          <w:rFonts w:hint="eastAsia" w:ascii="黑体" w:hAnsi="黑体" w:eastAsia="黑体" w:cs="宋体"/>
          <w:bCs/>
          <w:sz w:val="28"/>
          <w:szCs w:val="28"/>
          <w:lang w:bidi="ar-EG"/>
        </w:rPr>
        <w:t>、费用预算：</w:t>
      </w:r>
      <w:r>
        <w:rPr>
          <w:rFonts w:hint="eastAsia" w:ascii="仿宋" w:hAnsi="仿宋" w:eastAsia="仿宋" w:cs="宋体"/>
          <w:color w:val="000000" w:themeColor="text1"/>
          <w:spacing w:val="8"/>
          <w:kern w:val="0"/>
          <w:sz w:val="28"/>
          <w:szCs w:val="28"/>
          <w:highlight w:val="none"/>
          <w:lang w:val="en-US" w:eastAsia="zh-CN"/>
        </w:rPr>
        <w:t>15.5</w:t>
      </w:r>
      <w:r>
        <w:rPr>
          <w:rFonts w:hint="eastAsia" w:ascii="仿宋" w:hAnsi="仿宋" w:eastAsia="仿宋" w:cs="宋体"/>
          <w:color w:val="000000" w:themeColor="text1"/>
          <w:spacing w:val="8"/>
          <w:kern w:val="0"/>
          <w:sz w:val="28"/>
          <w:szCs w:val="28"/>
          <w:highlight w:val="none"/>
        </w:rPr>
        <w:t>万元</w:t>
      </w:r>
      <w:r>
        <w:rPr>
          <w:rFonts w:hint="eastAsia" w:ascii="仿宋" w:hAnsi="仿宋" w:eastAsia="仿宋" w:cs="宋体"/>
          <w:color w:val="000000" w:themeColor="text1"/>
          <w:spacing w:val="8"/>
          <w:kern w:val="0"/>
          <w:sz w:val="28"/>
          <w:szCs w:val="28"/>
          <w:highlight w:val="none"/>
          <w:lang w:val="en-US" w:eastAsia="zh-CN"/>
        </w:rPr>
        <w:t>/年</w:t>
      </w:r>
    </w:p>
    <w:p>
      <w:pPr>
        <w:adjustRightInd w:val="0"/>
        <w:snapToGrid w:val="0"/>
        <w:spacing w:line="360" w:lineRule="auto"/>
        <w:ind w:firstLine="560" w:firstLineChars="200"/>
        <w:rPr>
          <w:rFonts w:ascii="黑体" w:hAnsi="黑体" w:eastAsia="黑体" w:cs="宋体"/>
          <w:bCs/>
          <w:sz w:val="28"/>
          <w:szCs w:val="28"/>
          <w:lang w:bidi="ar-EG"/>
        </w:rPr>
      </w:pPr>
      <w:r>
        <w:rPr>
          <w:rFonts w:hint="eastAsia" w:ascii="黑体" w:hAnsi="黑体" w:eastAsia="黑体" w:cs="宋体"/>
          <w:bCs/>
          <w:sz w:val="28"/>
          <w:szCs w:val="28"/>
          <w:lang w:eastAsia="zh-CN" w:bidi="ar-EG"/>
        </w:rPr>
        <w:t>六</w:t>
      </w:r>
      <w:r>
        <w:rPr>
          <w:rFonts w:hint="eastAsia" w:ascii="黑体" w:hAnsi="黑体" w:eastAsia="黑体" w:cs="宋体"/>
          <w:bCs/>
          <w:sz w:val="28"/>
          <w:szCs w:val="28"/>
          <w:lang w:bidi="ar-EG"/>
        </w:rPr>
        <w:t>、项目内容</w:t>
      </w:r>
    </w:p>
    <w:p>
      <w:pPr>
        <w:widowControl/>
        <w:adjustRightInd w:val="0"/>
        <w:snapToGrid w:val="0"/>
        <w:spacing w:line="360" w:lineRule="auto"/>
        <w:ind w:firstLine="560" w:firstLineChars="200"/>
        <w:rPr>
          <w:rFonts w:hint="eastAsia"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1.每期调研样本量及调研方式：</w:t>
      </w:r>
    </w:p>
    <w:p>
      <w:pPr>
        <w:widowControl/>
        <w:adjustRightInd w:val="0"/>
        <w:snapToGrid w:val="0"/>
        <w:spacing w:line="360" w:lineRule="auto"/>
        <w:ind w:firstLine="560" w:firstLineChars="200"/>
        <w:rPr>
          <w:rFonts w:hint="default"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（1）</w:t>
      </w:r>
      <w:r>
        <w:rPr>
          <w:rFonts w:hint="default" w:ascii="仿宋" w:hAnsi="仿宋" w:eastAsia="仿宋" w:cs="宋体"/>
          <w:bCs/>
          <w:color w:val="000000" w:themeColor="text1"/>
          <w:kern w:val="0"/>
          <w:sz w:val="28"/>
          <w:szCs w:val="28"/>
          <w:lang w:val="en-US" w:eastAsia="zh-CN"/>
        </w:rPr>
        <w:t>门诊患者满意度调研样本至少</w:t>
      </w:r>
      <w:r>
        <w:rPr>
          <w:rFonts w:hint="eastAsia" w:ascii="仿宋" w:hAnsi="仿宋" w:eastAsia="仿宋" w:cs="宋体"/>
          <w:bCs/>
          <w:color w:val="000000" w:themeColor="text1"/>
          <w:kern w:val="0"/>
          <w:sz w:val="28"/>
          <w:szCs w:val="28"/>
          <w:lang w:val="en-US" w:eastAsia="zh-CN"/>
        </w:rPr>
        <w:t>1200</w:t>
      </w:r>
      <w:r>
        <w:rPr>
          <w:rFonts w:hint="default" w:ascii="仿宋" w:hAnsi="仿宋" w:eastAsia="仿宋" w:cs="宋体"/>
          <w:bCs/>
          <w:color w:val="000000" w:themeColor="text1"/>
          <w:kern w:val="0"/>
          <w:sz w:val="28"/>
          <w:szCs w:val="28"/>
          <w:lang w:val="en-US" w:eastAsia="zh-CN"/>
        </w:rPr>
        <w:t>个</w:t>
      </w:r>
      <w:r>
        <w:rPr>
          <w:rFonts w:hint="eastAsia" w:ascii="仿宋" w:hAnsi="仿宋" w:eastAsia="仿宋" w:cs="宋体"/>
          <w:bCs/>
          <w:color w:val="000000" w:themeColor="text1"/>
          <w:kern w:val="0"/>
          <w:sz w:val="28"/>
          <w:szCs w:val="28"/>
          <w:lang w:val="en-US" w:eastAsia="zh-CN"/>
        </w:rPr>
        <w:t>，平均到每月执行</w:t>
      </w:r>
      <w:r>
        <w:rPr>
          <w:rFonts w:hint="default" w:ascii="仿宋" w:hAnsi="仿宋" w:eastAsia="仿宋" w:cs="宋体"/>
          <w:bCs/>
          <w:color w:val="000000" w:themeColor="text1"/>
          <w:kern w:val="0"/>
          <w:sz w:val="28"/>
          <w:szCs w:val="28"/>
          <w:lang w:val="en-US" w:eastAsia="zh-CN"/>
        </w:rPr>
        <w:t>。</w:t>
      </w:r>
    </w:p>
    <w:p>
      <w:pPr>
        <w:widowControl/>
        <w:adjustRightInd w:val="0"/>
        <w:snapToGrid w:val="0"/>
        <w:spacing w:line="360" w:lineRule="auto"/>
        <w:ind w:firstLine="560" w:firstLineChars="200"/>
        <w:rPr>
          <w:rFonts w:hint="default"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（2）</w:t>
      </w:r>
      <w:r>
        <w:rPr>
          <w:rFonts w:hint="default" w:ascii="仿宋" w:hAnsi="仿宋" w:eastAsia="仿宋" w:cs="宋体"/>
          <w:bCs/>
          <w:color w:val="000000" w:themeColor="text1"/>
          <w:kern w:val="0"/>
          <w:sz w:val="28"/>
          <w:szCs w:val="28"/>
          <w:lang w:val="en-US" w:eastAsia="zh-CN"/>
        </w:rPr>
        <w:t>住院</w:t>
      </w:r>
      <w:r>
        <w:rPr>
          <w:rFonts w:hint="eastAsia" w:ascii="仿宋" w:hAnsi="仿宋" w:eastAsia="仿宋" w:cs="宋体"/>
          <w:bCs/>
          <w:color w:val="000000" w:themeColor="text1"/>
          <w:kern w:val="0"/>
          <w:sz w:val="28"/>
          <w:szCs w:val="28"/>
          <w:lang w:val="en-US" w:eastAsia="zh-CN"/>
        </w:rPr>
        <w:t>及出院</w:t>
      </w:r>
      <w:r>
        <w:rPr>
          <w:rFonts w:hint="default" w:ascii="仿宋" w:hAnsi="仿宋" w:eastAsia="仿宋" w:cs="宋体"/>
          <w:bCs/>
          <w:color w:val="000000" w:themeColor="text1"/>
          <w:kern w:val="0"/>
          <w:sz w:val="28"/>
          <w:szCs w:val="28"/>
          <w:lang w:val="en-US" w:eastAsia="zh-CN"/>
        </w:rPr>
        <w:t>患者满意度调研样本</w:t>
      </w:r>
      <w:r>
        <w:rPr>
          <w:rFonts w:hint="eastAsia" w:ascii="仿宋" w:hAnsi="仿宋" w:eastAsia="仿宋" w:cs="宋体"/>
          <w:bCs/>
          <w:color w:val="000000" w:themeColor="text1"/>
          <w:kern w:val="0"/>
          <w:sz w:val="28"/>
          <w:szCs w:val="28"/>
          <w:lang w:val="en-US" w:eastAsia="zh-CN"/>
        </w:rPr>
        <w:t>一共</w:t>
      </w:r>
      <w:r>
        <w:rPr>
          <w:rFonts w:hint="default" w:ascii="仿宋" w:hAnsi="仿宋" w:eastAsia="仿宋" w:cs="宋体"/>
          <w:bCs/>
          <w:color w:val="000000" w:themeColor="text1"/>
          <w:kern w:val="0"/>
          <w:sz w:val="28"/>
          <w:szCs w:val="28"/>
          <w:lang w:val="en-US" w:eastAsia="zh-CN"/>
        </w:rPr>
        <w:t>至少</w:t>
      </w:r>
      <w:r>
        <w:rPr>
          <w:rFonts w:hint="eastAsia" w:ascii="仿宋" w:hAnsi="仿宋" w:eastAsia="仿宋" w:cs="宋体"/>
          <w:bCs/>
          <w:color w:val="000000" w:themeColor="text1"/>
          <w:kern w:val="0"/>
          <w:sz w:val="28"/>
          <w:szCs w:val="28"/>
          <w:lang w:val="en-US" w:eastAsia="zh-CN"/>
        </w:rPr>
        <w:t>2400</w:t>
      </w:r>
      <w:r>
        <w:rPr>
          <w:rFonts w:hint="default" w:ascii="仿宋" w:hAnsi="仿宋" w:eastAsia="仿宋" w:cs="宋体"/>
          <w:bCs/>
          <w:color w:val="000000" w:themeColor="text1"/>
          <w:kern w:val="0"/>
          <w:sz w:val="28"/>
          <w:szCs w:val="28"/>
          <w:lang w:val="en-US" w:eastAsia="zh-CN"/>
        </w:rPr>
        <w:t>个</w:t>
      </w:r>
      <w:r>
        <w:rPr>
          <w:rFonts w:hint="eastAsia" w:ascii="仿宋" w:hAnsi="仿宋" w:eastAsia="仿宋" w:cs="宋体"/>
          <w:bCs/>
          <w:color w:val="000000" w:themeColor="text1"/>
          <w:kern w:val="0"/>
          <w:sz w:val="28"/>
          <w:szCs w:val="28"/>
          <w:lang w:val="en-US" w:eastAsia="zh-CN"/>
        </w:rPr>
        <w:t>，平均到每月执行</w:t>
      </w:r>
      <w:r>
        <w:rPr>
          <w:rFonts w:hint="default" w:ascii="仿宋" w:hAnsi="仿宋" w:eastAsia="仿宋" w:cs="宋体"/>
          <w:bCs/>
          <w:color w:val="000000" w:themeColor="text1"/>
          <w:kern w:val="0"/>
          <w:sz w:val="28"/>
          <w:szCs w:val="28"/>
          <w:lang w:val="en-US" w:eastAsia="zh-CN"/>
        </w:rPr>
        <w:t>。</w:t>
      </w:r>
    </w:p>
    <w:p>
      <w:pPr>
        <w:widowControl/>
        <w:adjustRightInd w:val="0"/>
        <w:snapToGrid w:val="0"/>
        <w:spacing w:line="360" w:lineRule="auto"/>
        <w:ind w:firstLine="560" w:firstLineChars="200"/>
        <w:rPr>
          <w:rFonts w:hint="default"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（3）国考指标</w:t>
      </w:r>
      <w:r>
        <w:rPr>
          <w:rFonts w:hint="default" w:ascii="仿宋" w:hAnsi="仿宋" w:eastAsia="仿宋" w:cs="宋体"/>
          <w:bCs/>
          <w:color w:val="000000" w:themeColor="text1"/>
          <w:kern w:val="0"/>
          <w:sz w:val="28"/>
          <w:szCs w:val="28"/>
          <w:lang w:val="en-US" w:eastAsia="zh-CN"/>
        </w:rPr>
        <w:t>门诊患者满意度调研样本</w:t>
      </w:r>
      <w:r>
        <w:rPr>
          <w:rFonts w:hint="eastAsia" w:ascii="仿宋" w:hAnsi="仿宋" w:eastAsia="仿宋" w:cs="宋体"/>
          <w:bCs/>
          <w:color w:val="000000" w:themeColor="text1"/>
          <w:kern w:val="0"/>
          <w:sz w:val="28"/>
          <w:szCs w:val="28"/>
          <w:lang w:val="en-US" w:eastAsia="zh-CN"/>
        </w:rPr>
        <w:t>每季度</w:t>
      </w:r>
      <w:r>
        <w:rPr>
          <w:rFonts w:hint="default" w:ascii="仿宋" w:hAnsi="仿宋" w:eastAsia="仿宋" w:cs="宋体"/>
          <w:bCs/>
          <w:color w:val="000000" w:themeColor="text1"/>
          <w:kern w:val="0"/>
          <w:sz w:val="28"/>
          <w:szCs w:val="28"/>
          <w:lang w:val="en-US" w:eastAsia="zh-CN"/>
        </w:rPr>
        <w:t>至少</w:t>
      </w:r>
      <w:r>
        <w:rPr>
          <w:rFonts w:hint="eastAsia" w:ascii="仿宋" w:hAnsi="仿宋" w:eastAsia="仿宋" w:cs="宋体"/>
          <w:bCs/>
          <w:color w:val="000000" w:themeColor="text1"/>
          <w:kern w:val="0"/>
          <w:sz w:val="28"/>
          <w:szCs w:val="28"/>
          <w:lang w:val="en-US" w:eastAsia="zh-CN"/>
        </w:rPr>
        <w:t>400</w:t>
      </w:r>
      <w:r>
        <w:rPr>
          <w:rFonts w:hint="default" w:ascii="仿宋" w:hAnsi="仿宋" w:eastAsia="仿宋" w:cs="宋体"/>
          <w:bCs/>
          <w:color w:val="000000" w:themeColor="text1"/>
          <w:kern w:val="0"/>
          <w:sz w:val="28"/>
          <w:szCs w:val="28"/>
          <w:lang w:val="en-US" w:eastAsia="zh-CN"/>
        </w:rPr>
        <w:t>个</w:t>
      </w:r>
      <w:r>
        <w:rPr>
          <w:rFonts w:hint="eastAsia" w:ascii="仿宋" w:hAnsi="仿宋" w:eastAsia="仿宋" w:cs="宋体"/>
          <w:bCs/>
          <w:color w:val="000000" w:themeColor="text1"/>
          <w:kern w:val="0"/>
          <w:sz w:val="28"/>
          <w:szCs w:val="28"/>
          <w:lang w:val="en-US" w:eastAsia="zh-CN"/>
        </w:rPr>
        <w:t>，平均到每月执行，每年至少1200个</w:t>
      </w:r>
      <w:r>
        <w:rPr>
          <w:rFonts w:hint="default" w:ascii="仿宋" w:hAnsi="仿宋" w:eastAsia="仿宋" w:cs="宋体"/>
          <w:bCs/>
          <w:color w:val="000000" w:themeColor="text1"/>
          <w:kern w:val="0"/>
          <w:sz w:val="28"/>
          <w:szCs w:val="28"/>
          <w:lang w:val="en-US" w:eastAsia="zh-CN"/>
        </w:rPr>
        <w:t>。</w:t>
      </w:r>
    </w:p>
    <w:p>
      <w:pPr>
        <w:widowControl/>
        <w:adjustRightInd w:val="0"/>
        <w:snapToGrid w:val="0"/>
        <w:spacing w:line="360" w:lineRule="auto"/>
        <w:ind w:firstLine="560" w:firstLineChars="200"/>
        <w:rPr>
          <w:rFonts w:hint="default"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（4）国考指标</w:t>
      </w:r>
      <w:r>
        <w:rPr>
          <w:rFonts w:hint="default" w:ascii="仿宋" w:hAnsi="仿宋" w:eastAsia="仿宋" w:cs="宋体"/>
          <w:bCs/>
          <w:color w:val="000000" w:themeColor="text1"/>
          <w:kern w:val="0"/>
          <w:sz w:val="28"/>
          <w:szCs w:val="28"/>
          <w:lang w:val="en-US" w:eastAsia="zh-CN"/>
        </w:rPr>
        <w:t>住院</w:t>
      </w:r>
      <w:r>
        <w:rPr>
          <w:rFonts w:hint="eastAsia" w:ascii="仿宋" w:hAnsi="仿宋" w:eastAsia="仿宋" w:cs="宋体"/>
          <w:bCs/>
          <w:color w:val="000000" w:themeColor="text1"/>
          <w:kern w:val="0"/>
          <w:sz w:val="28"/>
          <w:szCs w:val="28"/>
          <w:lang w:val="en-US" w:eastAsia="zh-CN"/>
        </w:rPr>
        <w:t>及</w:t>
      </w:r>
      <w:r>
        <w:rPr>
          <w:rFonts w:hint="default" w:ascii="仿宋" w:hAnsi="仿宋" w:eastAsia="仿宋" w:cs="宋体"/>
          <w:bCs/>
          <w:color w:val="000000" w:themeColor="text1"/>
          <w:kern w:val="0"/>
          <w:sz w:val="28"/>
          <w:szCs w:val="28"/>
          <w:lang w:val="en-US" w:eastAsia="zh-CN"/>
        </w:rPr>
        <w:t>患者满意度调研样</w:t>
      </w:r>
      <w:r>
        <w:rPr>
          <w:rFonts w:hint="eastAsia" w:ascii="仿宋" w:hAnsi="仿宋" w:eastAsia="仿宋" w:cs="宋体"/>
          <w:bCs/>
          <w:color w:val="000000" w:themeColor="text1"/>
          <w:kern w:val="0"/>
          <w:sz w:val="28"/>
          <w:szCs w:val="28"/>
          <w:lang w:val="en-US" w:eastAsia="zh-CN"/>
        </w:rPr>
        <w:t>每季度</w:t>
      </w:r>
      <w:r>
        <w:rPr>
          <w:rFonts w:hint="default" w:ascii="仿宋" w:hAnsi="仿宋" w:eastAsia="仿宋" w:cs="宋体"/>
          <w:bCs/>
          <w:color w:val="000000" w:themeColor="text1"/>
          <w:kern w:val="0"/>
          <w:sz w:val="28"/>
          <w:szCs w:val="28"/>
          <w:lang w:val="en-US" w:eastAsia="zh-CN"/>
        </w:rPr>
        <w:t>至少</w:t>
      </w:r>
      <w:r>
        <w:rPr>
          <w:rFonts w:hint="eastAsia" w:ascii="仿宋" w:hAnsi="仿宋" w:eastAsia="仿宋" w:cs="宋体"/>
          <w:bCs/>
          <w:color w:val="000000" w:themeColor="text1"/>
          <w:kern w:val="0"/>
          <w:sz w:val="28"/>
          <w:szCs w:val="28"/>
          <w:lang w:val="en-US" w:eastAsia="zh-CN"/>
        </w:rPr>
        <w:t>400</w:t>
      </w:r>
      <w:r>
        <w:rPr>
          <w:rFonts w:hint="default" w:ascii="仿宋" w:hAnsi="仿宋" w:eastAsia="仿宋" w:cs="宋体"/>
          <w:bCs/>
          <w:color w:val="000000" w:themeColor="text1"/>
          <w:kern w:val="0"/>
          <w:sz w:val="28"/>
          <w:szCs w:val="28"/>
          <w:lang w:val="en-US" w:eastAsia="zh-CN"/>
        </w:rPr>
        <w:t>个</w:t>
      </w:r>
      <w:r>
        <w:rPr>
          <w:rFonts w:hint="eastAsia" w:ascii="仿宋" w:hAnsi="仿宋" w:eastAsia="仿宋" w:cs="宋体"/>
          <w:bCs/>
          <w:color w:val="000000" w:themeColor="text1"/>
          <w:kern w:val="0"/>
          <w:sz w:val="28"/>
          <w:szCs w:val="28"/>
          <w:lang w:val="en-US" w:eastAsia="zh-CN"/>
        </w:rPr>
        <w:t>，平均到每月执行，每年至少1200个</w:t>
      </w:r>
      <w:r>
        <w:rPr>
          <w:rFonts w:hint="default" w:ascii="仿宋" w:hAnsi="仿宋" w:eastAsia="仿宋" w:cs="宋体"/>
          <w:bCs/>
          <w:color w:val="000000" w:themeColor="text1"/>
          <w:kern w:val="0"/>
          <w:sz w:val="28"/>
          <w:szCs w:val="28"/>
          <w:lang w:val="en-US" w:eastAsia="zh-CN"/>
        </w:rPr>
        <w:t>。</w:t>
      </w:r>
    </w:p>
    <w:p>
      <w:pPr>
        <w:pStyle w:val="2"/>
        <w:ind w:left="0" w:leftChars="0" w:firstLine="560" w:firstLineChars="200"/>
        <w:rPr>
          <w:rFonts w:hint="eastAsia"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（5）国考指标住在职员工满意度调研样本按年度执行，每期至少1000个。</w:t>
      </w:r>
    </w:p>
    <w:p>
      <w:pPr>
        <w:widowControl/>
        <w:adjustRightInd w:val="0"/>
        <w:snapToGrid w:val="0"/>
        <w:spacing w:line="360" w:lineRule="auto"/>
        <w:ind w:firstLine="560" w:firstLineChars="200"/>
        <w:rPr>
          <w:rFonts w:hint="default"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（6）</w:t>
      </w:r>
      <w:bookmarkStart w:id="0" w:name="_GoBack"/>
      <w:bookmarkEnd w:id="0"/>
      <w:r>
        <w:rPr>
          <w:rFonts w:hint="default" w:ascii="仿宋" w:hAnsi="仿宋" w:eastAsia="仿宋" w:cs="宋体"/>
          <w:bCs/>
          <w:color w:val="000000" w:themeColor="text1"/>
          <w:kern w:val="0"/>
          <w:sz w:val="28"/>
          <w:szCs w:val="28"/>
          <w:lang w:val="en-US" w:eastAsia="zh-CN"/>
        </w:rPr>
        <w:t>在职员工满意度调研样本</w:t>
      </w:r>
      <w:r>
        <w:rPr>
          <w:rFonts w:hint="eastAsia" w:ascii="仿宋" w:hAnsi="仿宋" w:eastAsia="仿宋" w:cs="宋体"/>
          <w:bCs/>
          <w:color w:val="000000" w:themeColor="text1"/>
          <w:kern w:val="0"/>
          <w:sz w:val="28"/>
          <w:szCs w:val="28"/>
          <w:lang w:val="en-US" w:eastAsia="zh-CN"/>
        </w:rPr>
        <w:t>按半年执行，每期</w:t>
      </w:r>
      <w:r>
        <w:rPr>
          <w:rFonts w:hint="default" w:ascii="仿宋" w:hAnsi="仿宋" w:eastAsia="仿宋" w:cs="宋体"/>
          <w:bCs/>
          <w:color w:val="000000" w:themeColor="text1"/>
          <w:kern w:val="0"/>
          <w:sz w:val="28"/>
          <w:szCs w:val="28"/>
          <w:lang w:val="en-US" w:eastAsia="zh-CN"/>
        </w:rPr>
        <w:t>至少</w:t>
      </w:r>
      <w:r>
        <w:rPr>
          <w:rFonts w:hint="eastAsia" w:ascii="仿宋" w:hAnsi="仿宋" w:eastAsia="仿宋" w:cs="宋体"/>
          <w:bCs/>
          <w:color w:val="000000" w:themeColor="text1"/>
          <w:kern w:val="0"/>
          <w:sz w:val="28"/>
          <w:szCs w:val="28"/>
          <w:lang w:val="en-US" w:eastAsia="zh-CN"/>
        </w:rPr>
        <w:t>1000</w:t>
      </w:r>
      <w:r>
        <w:rPr>
          <w:rFonts w:hint="default" w:ascii="仿宋" w:hAnsi="仿宋" w:eastAsia="仿宋" w:cs="宋体"/>
          <w:bCs/>
          <w:color w:val="000000" w:themeColor="text1"/>
          <w:kern w:val="0"/>
          <w:sz w:val="28"/>
          <w:szCs w:val="28"/>
          <w:lang w:val="en-US" w:eastAsia="zh-CN"/>
        </w:rPr>
        <w:t>个。</w:t>
      </w:r>
    </w:p>
    <w:p>
      <w:pPr>
        <w:widowControl/>
        <w:adjustRightInd w:val="0"/>
        <w:snapToGrid w:val="0"/>
        <w:spacing w:line="360" w:lineRule="auto"/>
        <w:ind w:firstLine="560" w:firstLineChars="200"/>
        <w:rPr>
          <w:rFonts w:hint="eastAsia"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（7）访问方式：现场调查、电话调查、短信推送、二维码扫码答题等。</w:t>
      </w:r>
    </w:p>
    <w:p>
      <w:pPr>
        <w:widowControl/>
        <w:adjustRightInd w:val="0"/>
        <w:snapToGrid w:val="0"/>
        <w:spacing w:line="360" w:lineRule="auto"/>
        <w:ind w:firstLine="420" w:firstLineChars="0"/>
        <w:rPr>
          <w:rFonts w:hint="default"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2.调研范围及时间：</w:t>
      </w:r>
    </w:p>
    <w:p>
      <w:pPr>
        <w:widowControl/>
        <w:adjustRightInd w:val="0"/>
        <w:snapToGrid w:val="0"/>
        <w:spacing w:line="360" w:lineRule="auto"/>
        <w:ind w:firstLine="560" w:firstLineChars="200"/>
        <w:rPr>
          <w:rFonts w:hint="default"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（1）院区的各个门诊临床科室、医技辅助科室及临床住院科室。</w:t>
      </w:r>
    </w:p>
    <w:p>
      <w:pPr>
        <w:widowControl/>
        <w:adjustRightInd w:val="0"/>
        <w:snapToGrid w:val="0"/>
        <w:spacing w:line="360" w:lineRule="auto"/>
        <w:ind w:firstLine="560" w:firstLineChars="200"/>
        <w:rPr>
          <w:rFonts w:hint="default"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（2）采样日期应覆盖月上旬、中旬、月下旬，住院患者样本均应平均分布到每个自然月。</w:t>
      </w:r>
    </w:p>
    <w:p>
      <w:pPr>
        <w:widowControl/>
        <w:adjustRightInd w:val="0"/>
        <w:snapToGrid w:val="0"/>
        <w:spacing w:line="360" w:lineRule="auto"/>
        <w:ind w:firstLine="560" w:firstLineChars="200"/>
        <w:rPr>
          <w:rFonts w:hint="eastAsia"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（3）采样时间应覆盖工作日、周末、节假日及夜间门(急)诊。</w:t>
      </w:r>
    </w:p>
    <w:p>
      <w:pPr>
        <w:widowControl/>
        <w:adjustRightInd w:val="0"/>
        <w:snapToGrid w:val="0"/>
        <w:spacing w:line="360" w:lineRule="auto"/>
        <w:ind w:firstLine="420" w:firstLineChars="0"/>
        <w:rPr>
          <w:rFonts w:hint="default"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3.验收标准：</w:t>
      </w:r>
    </w:p>
    <w:p>
      <w:pPr>
        <w:widowControl/>
        <w:adjustRightInd w:val="0"/>
        <w:snapToGrid w:val="0"/>
        <w:spacing w:line="360" w:lineRule="auto"/>
        <w:ind w:firstLine="420" w:firstLineChars="0"/>
        <w:rPr>
          <w:rFonts w:hint="eastAsia"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（1）每季度根据采集到的满意度数据，综合分析后，向院方提供当期满意度报告（电子版与纸质版），内容包括且不限于：</w:t>
      </w:r>
    </w:p>
    <w:p>
      <w:pPr>
        <w:widowControl/>
        <w:adjustRightInd w:val="0"/>
        <w:snapToGrid w:val="0"/>
        <w:spacing w:line="360" w:lineRule="auto"/>
        <w:ind w:firstLine="977" w:firstLineChars="349"/>
        <w:rPr>
          <w:rFonts w:hint="eastAsia" w:ascii="仿宋" w:hAnsi="仿宋" w:eastAsia="仿宋" w:cs="宋体"/>
          <w:bCs/>
          <w:color w:val="000000" w:themeColor="text1"/>
          <w:kern w:val="0"/>
          <w:sz w:val="28"/>
          <w:szCs w:val="28"/>
          <w:lang w:val="en-US" w:eastAsia="zh-CN"/>
        </w:rPr>
      </w:pPr>
      <w:r>
        <w:rPr>
          <w:rFonts w:hint="default" w:ascii="仿宋" w:hAnsi="仿宋" w:eastAsia="仿宋" w:cs="宋体"/>
          <w:bCs/>
          <w:color w:val="000000" w:themeColor="text1"/>
          <w:kern w:val="0"/>
          <w:sz w:val="28"/>
          <w:szCs w:val="28"/>
          <w:lang w:val="en-US" w:eastAsia="zh-CN"/>
        </w:rPr>
        <w:t>①</w:t>
      </w:r>
      <w:r>
        <w:rPr>
          <w:rFonts w:hint="eastAsia" w:ascii="仿宋" w:hAnsi="仿宋" w:eastAsia="仿宋" w:cs="宋体"/>
          <w:bCs/>
          <w:color w:val="000000" w:themeColor="text1"/>
          <w:kern w:val="0"/>
          <w:sz w:val="28"/>
          <w:szCs w:val="28"/>
          <w:lang w:val="en-US" w:eastAsia="zh-CN"/>
        </w:rPr>
        <w:t>项目概况（调研背景、调研对象、调研方式等）；</w:t>
      </w:r>
    </w:p>
    <w:p>
      <w:pPr>
        <w:widowControl/>
        <w:adjustRightInd w:val="0"/>
        <w:snapToGrid w:val="0"/>
        <w:spacing w:line="360" w:lineRule="auto"/>
        <w:ind w:firstLine="977" w:firstLineChars="349"/>
        <w:rPr>
          <w:rFonts w:hint="eastAsia" w:ascii="仿宋" w:hAnsi="仿宋" w:eastAsia="仿宋" w:cs="宋体"/>
          <w:bCs/>
          <w:color w:val="000000" w:themeColor="text1"/>
          <w:kern w:val="0"/>
          <w:sz w:val="28"/>
          <w:szCs w:val="28"/>
          <w:lang w:val="en-US" w:eastAsia="zh-CN"/>
        </w:rPr>
      </w:pPr>
      <w:r>
        <w:rPr>
          <w:rFonts w:hint="default" w:ascii="仿宋" w:hAnsi="仿宋" w:eastAsia="仿宋" w:cs="宋体"/>
          <w:bCs/>
          <w:color w:val="000000" w:themeColor="text1"/>
          <w:kern w:val="0"/>
          <w:sz w:val="28"/>
          <w:szCs w:val="28"/>
          <w:lang w:val="en-US" w:eastAsia="zh-CN"/>
        </w:rPr>
        <w:t>②</w:t>
      </w:r>
      <w:r>
        <w:rPr>
          <w:rFonts w:hint="eastAsia" w:ascii="仿宋" w:hAnsi="仿宋" w:eastAsia="仿宋" w:cs="宋体"/>
          <w:bCs/>
          <w:color w:val="000000" w:themeColor="text1"/>
          <w:kern w:val="0"/>
          <w:sz w:val="28"/>
          <w:szCs w:val="28"/>
          <w:lang w:val="en-US" w:eastAsia="zh-CN"/>
        </w:rPr>
        <w:t>全院患者总体满意度；</w:t>
      </w:r>
    </w:p>
    <w:p>
      <w:pPr>
        <w:widowControl/>
        <w:adjustRightInd w:val="0"/>
        <w:snapToGrid w:val="0"/>
        <w:spacing w:line="360" w:lineRule="auto"/>
        <w:ind w:firstLine="977" w:firstLineChars="349"/>
        <w:rPr>
          <w:rFonts w:hint="eastAsia" w:ascii="仿宋" w:hAnsi="仿宋" w:eastAsia="仿宋" w:cs="宋体"/>
          <w:bCs/>
          <w:color w:val="000000" w:themeColor="text1"/>
          <w:kern w:val="0"/>
          <w:sz w:val="28"/>
          <w:szCs w:val="28"/>
          <w:lang w:val="en-US" w:eastAsia="zh-CN"/>
        </w:rPr>
      </w:pPr>
      <w:r>
        <w:rPr>
          <w:rFonts w:hint="default" w:ascii="仿宋" w:hAnsi="仿宋" w:eastAsia="仿宋" w:cs="宋体"/>
          <w:bCs/>
          <w:color w:val="000000" w:themeColor="text1"/>
          <w:kern w:val="0"/>
          <w:sz w:val="28"/>
          <w:szCs w:val="28"/>
          <w:lang w:val="en-US" w:eastAsia="zh-CN"/>
        </w:rPr>
        <w:t>③</w:t>
      </w:r>
      <w:r>
        <w:rPr>
          <w:rFonts w:hint="eastAsia" w:ascii="仿宋" w:hAnsi="仿宋" w:eastAsia="仿宋" w:cs="宋体"/>
          <w:bCs/>
          <w:color w:val="000000" w:themeColor="text1"/>
          <w:kern w:val="0"/>
          <w:sz w:val="28"/>
          <w:szCs w:val="28"/>
          <w:lang w:val="en-US" w:eastAsia="zh-CN"/>
        </w:rPr>
        <w:t>门诊患者总体满意度；各评估指标满意度；</w:t>
      </w:r>
    </w:p>
    <w:p>
      <w:pPr>
        <w:widowControl/>
        <w:adjustRightInd w:val="0"/>
        <w:snapToGrid w:val="0"/>
        <w:spacing w:line="360" w:lineRule="auto"/>
        <w:ind w:firstLine="977" w:firstLineChars="349"/>
        <w:rPr>
          <w:rFonts w:hint="eastAsia" w:ascii="仿宋" w:hAnsi="仿宋" w:eastAsia="仿宋" w:cs="宋体"/>
          <w:bCs/>
          <w:color w:val="000000" w:themeColor="text1"/>
          <w:kern w:val="0"/>
          <w:sz w:val="28"/>
          <w:szCs w:val="28"/>
          <w:lang w:val="en-US" w:eastAsia="zh-CN"/>
        </w:rPr>
      </w:pPr>
      <w:r>
        <w:rPr>
          <w:rFonts w:hint="default" w:ascii="仿宋" w:hAnsi="仿宋" w:eastAsia="仿宋" w:cs="宋体"/>
          <w:bCs/>
          <w:color w:val="000000" w:themeColor="text1"/>
          <w:kern w:val="0"/>
          <w:sz w:val="28"/>
          <w:szCs w:val="28"/>
          <w:lang w:val="en-US" w:eastAsia="zh-CN"/>
        </w:rPr>
        <w:t>④</w:t>
      </w:r>
      <w:r>
        <w:rPr>
          <w:rFonts w:hint="eastAsia" w:ascii="仿宋" w:hAnsi="仿宋" w:eastAsia="仿宋" w:cs="宋体"/>
          <w:bCs/>
          <w:color w:val="000000" w:themeColor="text1"/>
          <w:kern w:val="0"/>
          <w:sz w:val="28"/>
          <w:szCs w:val="28"/>
          <w:lang w:val="en-US" w:eastAsia="zh-CN"/>
        </w:rPr>
        <w:t>住院患者总体满意度；各评估指标满意度；各科室患者满意度排名；</w:t>
      </w:r>
    </w:p>
    <w:p>
      <w:pPr>
        <w:widowControl/>
        <w:adjustRightInd w:val="0"/>
        <w:snapToGrid w:val="0"/>
        <w:spacing w:line="360" w:lineRule="auto"/>
        <w:ind w:firstLine="977" w:firstLineChars="349"/>
        <w:rPr>
          <w:rFonts w:hint="eastAsia"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⑤门诊、住院患者对医院的意见和建议等；</w:t>
      </w:r>
    </w:p>
    <w:p>
      <w:pPr>
        <w:widowControl/>
        <w:adjustRightInd w:val="0"/>
        <w:snapToGrid w:val="0"/>
        <w:spacing w:line="360" w:lineRule="auto"/>
        <w:ind w:firstLine="977" w:firstLineChars="349"/>
        <w:rPr>
          <w:rFonts w:hint="eastAsia"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⑥医院在职员工总体满意度；各评估指标满意率；员工对医院的意见和建议等；</w:t>
      </w:r>
    </w:p>
    <w:p>
      <w:pPr>
        <w:widowControl/>
        <w:adjustRightInd w:val="0"/>
        <w:snapToGrid w:val="0"/>
        <w:spacing w:line="360" w:lineRule="auto"/>
        <w:ind w:firstLine="560" w:firstLineChars="200"/>
        <w:rPr>
          <w:rFonts w:hint="default"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（2）每季度满意度报告乙方在次季度首月15号前及时提交电子版。</w:t>
      </w:r>
    </w:p>
    <w:p>
      <w:pPr>
        <w:widowControl/>
        <w:adjustRightInd w:val="0"/>
        <w:snapToGrid w:val="0"/>
        <w:spacing w:line="360" w:lineRule="auto"/>
        <w:ind w:firstLine="560" w:firstLineChars="200"/>
        <w:rPr>
          <w:rFonts w:hint="default"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（3）电子版报告审核无误后，乙方在10个工作日内将纸质报告打印好送达甲方。</w:t>
      </w:r>
    </w:p>
    <w:p>
      <w:pPr>
        <w:widowControl/>
        <w:adjustRightInd w:val="0"/>
        <w:snapToGrid w:val="0"/>
        <w:spacing w:line="360" w:lineRule="auto"/>
        <w:ind w:firstLine="560" w:firstLineChars="200"/>
        <w:rPr>
          <w:rFonts w:hint="eastAsia" w:ascii="仿宋" w:hAnsi="仿宋" w:eastAsia="仿宋" w:cs="宋体"/>
          <w:bCs/>
          <w:color w:val="000000" w:themeColor="text1"/>
          <w:kern w:val="0"/>
          <w:sz w:val="28"/>
          <w:szCs w:val="28"/>
          <w:lang w:val="en-US" w:eastAsia="zh-CN"/>
        </w:rPr>
      </w:pPr>
      <w:r>
        <w:rPr>
          <w:rFonts w:hint="eastAsia" w:ascii="仿宋" w:hAnsi="仿宋" w:eastAsia="仿宋" w:cs="宋体"/>
          <w:bCs/>
          <w:color w:val="000000" w:themeColor="text1"/>
          <w:kern w:val="0"/>
          <w:sz w:val="28"/>
          <w:szCs w:val="28"/>
          <w:lang w:val="en-US" w:eastAsia="zh-CN"/>
        </w:rPr>
        <w:t>（4）报告提交后，乙方应甲方需求，在指定时间、地点提供报告讲解服务。</w:t>
      </w:r>
    </w:p>
    <w:p>
      <w:pPr>
        <w:widowControl/>
        <w:adjustRightInd w:val="0"/>
        <w:snapToGrid w:val="0"/>
        <w:spacing w:line="360" w:lineRule="auto"/>
        <w:ind w:firstLine="560" w:firstLineChars="200"/>
        <w:rPr>
          <w:rFonts w:ascii="仿宋" w:hAnsi="仿宋" w:eastAsia="仿宋" w:cs="仿宋"/>
          <w:color w:val="000000" w:themeColor="text1"/>
          <w:spacing w:val="8"/>
          <w:kern w:val="0"/>
          <w:sz w:val="28"/>
          <w:szCs w:val="28"/>
        </w:rPr>
      </w:pPr>
      <w:r>
        <w:rPr>
          <w:rFonts w:hint="eastAsia" w:ascii="仿宋" w:hAnsi="仿宋" w:eastAsia="仿宋" w:cs="宋体"/>
          <w:bCs/>
          <w:color w:val="000000" w:themeColor="text1"/>
          <w:kern w:val="0"/>
          <w:sz w:val="28"/>
          <w:szCs w:val="28"/>
          <w:lang w:val="en-US" w:eastAsia="zh-CN"/>
        </w:rPr>
        <w:t>（5）合同每年一签。</w:t>
      </w:r>
      <w:r>
        <w:rPr>
          <w:rFonts w:hint="eastAsia" w:ascii="仿宋" w:hAnsi="仿宋" w:eastAsia="仿宋" w:cs="仿宋"/>
          <w:color w:val="000000" w:themeColor="text1"/>
          <w:spacing w:val="8"/>
          <w:kern w:val="0"/>
          <w:sz w:val="28"/>
          <w:szCs w:val="28"/>
          <w:lang w:eastAsia="zh-CN"/>
        </w:rPr>
        <w:t>每年分</w:t>
      </w:r>
      <w:r>
        <w:rPr>
          <w:rFonts w:hint="eastAsia" w:ascii="仿宋" w:hAnsi="仿宋" w:eastAsia="仿宋" w:cs="仿宋"/>
          <w:color w:val="000000" w:themeColor="text1"/>
          <w:spacing w:val="8"/>
          <w:kern w:val="0"/>
          <w:sz w:val="28"/>
          <w:szCs w:val="28"/>
        </w:rPr>
        <w:t>四个</w:t>
      </w:r>
      <w:r>
        <w:rPr>
          <w:rFonts w:hint="eastAsia" w:ascii="仿宋" w:hAnsi="仿宋" w:eastAsia="仿宋" w:cs="仿宋"/>
          <w:color w:val="000000" w:themeColor="text1"/>
          <w:spacing w:val="8"/>
          <w:kern w:val="0"/>
          <w:sz w:val="28"/>
          <w:szCs w:val="28"/>
          <w:lang w:eastAsia="zh-CN"/>
        </w:rPr>
        <w:t>季度</w:t>
      </w:r>
      <w:r>
        <w:rPr>
          <w:rFonts w:hint="eastAsia" w:ascii="仿宋" w:hAnsi="仿宋" w:eastAsia="仿宋" w:cs="仿宋"/>
          <w:color w:val="000000" w:themeColor="text1"/>
          <w:spacing w:val="8"/>
          <w:kern w:val="0"/>
          <w:sz w:val="28"/>
          <w:szCs w:val="28"/>
        </w:rPr>
        <w:t>完成</w:t>
      </w:r>
      <w:r>
        <w:rPr>
          <w:rFonts w:hint="eastAsia" w:ascii="仿宋" w:hAnsi="仿宋" w:eastAsia="仿宋" w:cs="仿宋"/>
          <w:color w:val="000000" w:themeColor="text1"/>
          <w:spacing w:val="8"/>
          <w:kern w:val="0"/>
          <w:sz w:val="28"/>
          <w:szCs w:val="28"/>
          <w:lang w:eastAsia="zh-CN"/>
        </w:rPr>
        <w:t>合同内容</w:t>
      </w:r>
      <w:r>
        <w:rPr>
          <w:rFonts w:hint="eastAsia" w:ascii="仿宋" w:hAnsi="仿宋" w:eastAsia="仿宋" w:cs="仿宋"/>
          <w:color w:val="000000" w:themeColor="text1"/>
          <w:spacing w:val="8"/>
          <w:kern w:val="0"/>
          <w:sz w:val="28"/>
          <w:szCs w:val="28"/>
        </w:rPr>
        <w:t>。</w:t>
      </w:r>
      <w:r>
        <w:rPr>
          <w:rFonts w:hint="eastAsia" w:ascii="仿宋" w:hAnsi="仿宋" w:eastAsia="仿宋" w:cs="宋体"/>
          <w:bCs/>
          <w:color w:val="000000" w:themeColor="text1"/>
          <w:kern w:val="0"/>
          <w:sz w:val="28"/>
          <w:szCs w:val="28"/>
          <w:lang w:val="en-US" w:eastAsia="zh-CN"/>
        </w:rPr>
        <w:t>合同到期后，若甲方对乙方合同期间服务内容无异议，且双方均有继续合作的意愿，在院内询价采购过程中，在费用同等条件下可优先考虑。</w:t>
      </w:r>
    </w:p>
    <w:p>
      <w:pPr>
        <w:widowControl/>
        <w:adjustRightInd w:val="0"/>
        <w:snapToGrid w:val="0"/>
        <w:spacing w:line="360" w:lineRule="auto"/>
        <w:ind w:firstLine="560" w:firstLineChars="200"/>
        <w:rPr>
          <w:rFonts w:hint="eastAsia" w:ascii="仿宋" w:hAnsi="仿宋" w:eastAsia="仿宋" w:cs="宋体"/>
          <w:bCs/>
          <w:color w:val="000000" w:themeColor="text1"/>
          <w:kern w:val="0"/>
          <w:sz w:val="28"/>
          <w:szCs w:val="28"/>
          <w:lang w:val="en-US" w:eastAsia="zh-CN"/>
        </w:rPr>
      </w:pPr>
    </w:p>
    <w:p>
      <w:pPr>
        <w:pStyle w:val="6"/>
        <w:numPr>
          <w:ilvl w:val="0"/>
          <w:numId w:val="0"/>
        </w:numPr>
        <w:spacing w:before="0" w:after="0"/>
        <w:jc w:val="center"/>
        <w:rPr>
          <w:rFonts w:ascii="黑体" w:hAnsi="黑体" w:eastAsia="黑体" w:cs="宋体"/>
          <w:b w:val="0"/>
          <w:color w:val="000000" w:themeColor="text1"/>
          <w:sz w:val="44"/>
          <w:szCs w:val="44"/>
        </w:rPr>
      </w:pPr>
      <w:r>
        <w:rPr>
          <w:rFonts w:hint="eastAsia" w:ascii="黑体" w:hAnsi="黑体" w:eastAsia="黑体" w:cs="宋体"/>
          <w:b w:val="0"/>
          <w:color w:val="000000" w:themeColor="text1"/>
          <w:sz w:val="44"/>
          <w:szCs w:val="44"/>
        </w:rPr>
        <w:t>评分标准</w:t>
      </w:r>
    </w:p>
    <w:tbl>
      <w:tblPr>
        <w:tblStyle w:val="12"/>
        <w:tblW w:w="96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3"/>
        <w:gridCol w:w="1039"/>
        <w:gridCol w:w="829"/>
        <w:gridCol w:w="6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8" w:hRule="atLeast"/>
          <w:jc w:val="center"/>
        </w:trPr>
        <w:tc>
          <w:tcPr>
            <w:tcW w:w="2871"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4"/>
                <w:szCs w:val="24"/>
              </w:rPr>
            </w:pPr>
            <w:r>
              <w:rPr>
                <w:rFonts w:hint="eastAsia" w:ascii="仿宋" w:hAnsi="仿宋" w:eastAsia="仿宋" w:cs="仿宋"/>
                <w:sz w:val="24"/>
                <w:szCs w:val="24"/>
              </w:rPr>
              <w:t>评审因素与权重分值</w:t>
            </w:r>
          </w:p>
        </w:tc>
        <w:tc>
          <w:tcPr>
            <w:tcW w:w="6749"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r>
              <w:rPr>
                <w:rFonts w:hint="eastAsia" w:ascii="仿宋" w:hAnsi="仿宋" w:eastAsia="仿宋" w:cs="仿宋"/>
                <w:kern w:val="0"/>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4" w:hRule="atLeast"/>
          <w:jc w:val="center"/>
        </w:trPr>
        <w:tc>
          <w:tcPr>
            <w:tcW w:w="2042"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4"/>
                <w:szCs w:val="24"/>
              </w:rPr>
            </w:pPr>
            <w:r>
              <w:rPr>
                <w:rFonts w:hint="eastAsia" w:ascii="仿宋" w:hAnsi="仿宋" w:eastAsia="仿宋" w:cs="仿宋"/>
                <w:sz w:val="24"/>
                <w:szCs w:val="24"/>
              </w:rPr>
              <w:t>评审因素</w:t>
            </w:r>
          </w:p>
        </w:tc>
        <w:tc>
          <w:tcPr>
            <w:tcW w:w="82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分值</w:t>
            </w:r>
          </w:p>
        </w:tc>
        <w:tc>
          <w:tcPr>
            <w:tcW w:w="6749" w:type="dxa"/>
            <w:vMerge w:val="continue"/>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36" w:hRule="atLeast"/>
          <w:jc w:val="center"/>
        </w:trPr>
        <w:tc>
          <w:tcPr>
            <w:tcW w:w="1003" w:type="dxa"/>
            <w:vMerge w:val="restart"/>
            <w:tcBorders>
              <w:left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r>
              <w:rPr>
                <w:rFonts w:hint="eastAsia" w:ascii="仿宋" w:hAnsi="仿宋" w:eastAsia="仿宋" w:cs="仿宋"/>
                <w:kern w:val="0"/>
                <w:sz w:val="24"/>
                <w:szCs w:val="24"/>
              </w:rPr>
              <w:t>商务评议</w:t>
            </w:r>
          </w:p>
          <w:p>
            <w:pPr>
              <w:autoSpaceDE w:val="0"/>
              <w:autoSpaceDN w:val="0"/>
              <w:adjustRightInd w:val="0"/>
              <w:spacing w:line="360" w:lineRule="auto"/>
              <w:ind w:right="-20"/>
              <w:jc w:val="center"/>
              <w:rPr>
                <w:rFonts w:hint="eastAsia" w:ascii="仿宋" w:hAnsi="仿宋" w:eastAsia="仿宋" w:cs="仿宋"/>
                <w:kern w:val="0"/>
                <w:sz w:val="24"/>
                <w:szCs w:val="24"/>
              </w:rPr>
            </w:pPr>
            <w:r>
              <w:rPr>
                <w:rFonts w:hint="eastAsia" w:ascii="仿宋" w:hAnsi="仿宋" w:eastAsia="仿宋" w:cs="仿宋"/>
                <w:kern w:val="0"/>
                <w:sz w:val="24"/>
                <w:szCs w:val="24"/>
              </w:rPr>
              <w:t>（30分）</w:t>
            </w:r>
          </w:p>
        </w:tc>
        <w:tc>
          <w:tcPr>
            <w:tcW w:w="103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响应文件制作水平</w:t>
            </w:r>
          </w:p>
        </w:tc>
        <w:tc>
          <w:tcPr>
            <w:tcW w:w="82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5分</w:t>
            </w:r>
          </w:p>
        </w:tc>
        <w:tc>
          <w:tcPr>
            <w:tcW w:w="67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4"/>
                <w:szCs w:val="24"/>
              </w:rPr>
            </w:pPr>
            <w:r>
              <w:rPr>
                <w:rFonts w:hint="eastAsia" w:ascii="仿宋" w:hAnsi="仿宋" w:eastAsia="仿宋" w:cs="仿宋"/>
                <w:bCs/>
                <w:sz w:val="24"/>
                <w:szCs w:val="24"/>
              </w:rPr>
              <w:t>投标文件要求编制完整。格式规范、逐页有连续页码、有详细目录、目录与有关材料对应链接并查阅方便的，评委酌情评分0-5分。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96" w:hRule="atLeast"/>
          <w:jc w:val="center"/>
        </w:trPr>
        <w:tc>
          <w:tcPr>
            <w:tcW w:w="1003" w:type="dxa"/>
            <w:vMerge w:val="continue"/>
            <w:tcBorders>
              <w:left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p>
        </w:tc>
        <w:tc>
          <w:tcPr>
            <w:tcW w:w="1039" w:type="dxa"/>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体系认证</w:t>
            </w:r>
          </w:p>
        </w:tc>
        <w:tc>
          <w:tcPr>
            <w:tcW w:w="829" w:type="dxa"/>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6分</w:t>
            </w:r>
          </w:p>
        </w:tc>
        <w:tc>
          <w:tcPr>
            <w:tcW w:w="67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4"/>
                <w:szCs w:val="24"/>
              </w:rPr>
            </w:pPr>
            <w:r>
              <w:rPr>
                <w:rFonts w:hint="eastAsia" w:ascii="仿宋" w:hAnsi="仿宋" w:eastAsia="仿宋" w:cs="仿宋"/>
                <w:bCs/>
                <w:sz w:val="24"/>
                <w:szCs w:val="24"/>
              </w:rPr>
              <w:t>供应商具有</w:t>
            </w:r>
            <w:r>
              <w:rPr>
                <w:rFonts w:hint="eastAsia" w:ascii="仿宋" w:hAnsi="仿宋" w:eastAsia="仿宋" w:cs="仿宋"/>
                <w:bCs/>
                <w:sz w:val="24"/>
                <w:szCs w:val="24"/>
                <w:lang w:val="zh-CN"/>
              </w:rPr>
              <w:t>ISO9001质量管理体系认证、</w:t>
            </w:r>
            <w:r>
              <w:rPr>
                <w:rFonts w:hint="eastAsia" w:ascii="仿宋" w:hAnsi="仿宋" w:eastAsia="仿宋" w:cs="仿宋"/>
                <w:bCs/>
                <w:sz w:val="24"/>
                <w:szCs w:val="24"/>
              </w:rPr>
              <w:t>ISO14001</w:t>
            </w:r>
            <w:r>
              <w:rPr>
                <w:rFonts w:hint="eastAsia" w:ascii="仿宋" w:hAnsi="仿宋" w:eastAsia="仿宋" w:cs="仿宋"/>
                <w:bCs/>
                <w:sz w:val="24"/>
                <w:szCs w:val="24"/>
                <w:lang w:val="zh-CN"/>
              </w:rPr>
              <w:t>环境管理体系认证、</w:t>
            </w:r>
            <w:r>
              <w:rPr>
                <w:rFonts w:hint="eastAsia" w:ascii="仿宋" w:hAnsi="仿宋" w:eastAsia="仿宋" w:cs="仿宋"/>
                <w:bCs/>
                <w:sz w:val="24"/>
                <w:szCs w:val="24"/>
              </w:rPr>
              <w:t>ISO45001</w:t>
            </w:r>
            <w:r>
              <w:rPr>
                <w:rFonts w:hint="eastAsia" w:ascii="仿宋" w:hAnsi="仿宋" w:eastAsia="仿宋" w:cs="仿宋"/>
                <w:bCs/>
                <w:sz w:val="24"/>
                <w:szCs w:val="24"/>
                <w:lang w:val="zh-CN"/>
              </w:rPr>
              <w:t>职业健康安全管理体系认证。</w:t>
            </w:r>
            <w:r>
              <w:rPr>
                <w:rFonts w:hint="eastAsia" w:ascii="仿宋" w:hAnsi="仿宋" w:eastAsia="仿宋" w:cs="仿宋"/>
                <w:bCs/>
                <w:sz w:val="24"/>
                <w:szCs w:val="24"/>
              </w:rPr>
              <w:t>每</w:t>
            </w:r>
            <w:r>
              <w:rPr>
                <w:rFonts w:hint="eastAsia" w:ascii="仿宋" w:hAnsi="仿宋" w:eastAsia="仿宋" w:cs="仿宋"/>
                <w:bCs/>
                <w:sz w:val="24"/>
                <w:szCs w:val="24"/>
                <w:lang w:val="zh-CN"/>
              </w:rPr>
              <w:t>满足1个得</w:t>
            </w:r>
            <w:r>
              <w:rPr>
                <w:rFonts w:hint="eastAsia" w:ascii="仿宋" w:hAnsi="仿宋" w:eastAsia="仿宋" w:cs="仿宋"/>
                <w:bCs/>
                <w:sz w:val="24"/>
                <w:szCs w:val="24"/>
              </w:rPr>
              <w:t>2</w:t>
            </w:r>
            <w:r>
              <w:rPr>
                <w:rFonts w:hint="eastAsia" w:ascii="仿宋" w:hAnsi="仿宋" w:eastAsia="仿宋" w:cs="仿宋"/>
                <w:bCs/>
                <w:sz w:val="24"/>
                <w:szCs w:val="24"/>
                <w:lang w:val="zh-CN"/>
              </w:rPr>
              <w:t>分，</w:t>
            </w:r>
            <w:r>
              <w:rPr>
                <w:rFonts w:hint="eastAsia" w:ascii="仿宋" w:hAnsi="仿宋" w:eastAsia="仿宋" w:cs="仿宋"/>
                <w:bCs/>
                <w:sz w:val="24"/>
                <w:szCs w:val="24"/>
              </w:rPr>
              <w:t>最多得6分。</w:t>
            </w:r>
            <w:r>
              <w:rPr>
                <w:rFonts w:hint="eastAsia" w:ascii="仿宋" w:hAnsi="仿宋" w:eastAsia="仿宋" w:cs="仿宋"/>
                <w:bCs/>
                <w:sz w:val="24"/>
                <w:szCs w:val="24"/>
                <w:lang w:val="zh-CN"/>
              </w:rPr>
              <w:t xml:space="preserve"> (提供证书原件扫描件并加盖单位公章）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6" w:hRule="atLeast"/>
          <w:jc w:val="center"/>
        </w:trPr>
        <w:tc>
          <w:tcPr>
            <w:tcW w:w="1003" w:type="dxa"/>
            <w:vMerge w:val="continue"/>
            <w:tcBorders>
              <w:left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p>
        </w:tc>
        <w:tc>
          <w:tcPr>
            <w:tcW w:w="1039" w:type="dxa"/>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投入设备</w:t>
            </w:r>
          </w:p>
        </w:tc>
        <w:tc>
          <w:tcPr>
            <w:tcW w:w="829" w:type="dxa"/>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4分</w:t>
            </w:r>
          </w:p>
        </w:tc>
        <w:tc>
          <w:tcPr>
            <w:tcW w:w="67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4"/>
                <w:szCs w:val="24"/>
              </w:rPr>
            </w:pPr>
            <w:r>
              <w:rPr>
                <w:rFonts w:hint="eastAsia" w:ascii="仿宋" w:hAnsi="仿宋" w:eastAsia="仿宋" w:cs="仿宋"/>
                <w:bCs/>
                <w:sz w:val="24"/>
                <w:szCs w:val="24"/>
              </w:rPr>
              <w:t>投入医德医风第三方社会评价数据管理平台、第三方满意度调研管理系统等</w:t>
            </w:r>
            <w:r>
              <w:rPr>
                <w:rFonts w:hint="eastAsia" w:ascii="仿宋" w:hAnsi="仿宋" w:eastAsia="仿宋" w:cs="仿宋"/>
                <w:bCs/>
                <w:sz w:val="24"/>
                <w:szCs w:val="24"/>
                <w:lang w:val="zh-CN"/>
              </w:rPr>
              <w:t>，满足1个得</w:t>
            </w:r>
            <w:r>
              <w:rPr>
                <w:rFonts w:hint="eastAsia" w:ascii="仿宋" w:hAnsi="仿宋" w:eastAsia="仿宋" w:cs="仿宋"/>
                <w:bCs/>
                <w:sz w:val="24"/>
                <w:szCs w:val="24"/>
              </w:rPr>
              <w:t>2</w:t>
            </w:r>
            <w:r>
              <w:rPr>
                <w:rFonts w:hint="eastAsia" w:ascii="仿宋" w:hAnsi="仿宋" w:eastAsia="仿宋" w:cs="仿宋"/>
                <w:bCs/>
                <w:sz w:val="24"/>
                <w:szCs w:val="24"/>
                <w:lang w:val="zh-CN"/>
              </w:rPr>
              <w:t>分，</w:t>
            </w:r>
            <w:r>
              <w:rPr>
                <w:rFonts w:hint="eastAsia" w:ascii="仿宋" w:hAnsi="仿宋" w:eastAsia="仿宋" w:cs="仿宋"/>
                <w:bCs/>
                <w:sz w:val="24"/>
                <w:szCs w:val="24"/>
              </w:rPr>
              <w:t>最多得4分。</w:t>
            </w:r>
            <w:r>
              <w:rPr>
                <w:rFonts w:hint="eastAsia" w:ascii="仿宋" w:hAnsi="仿宋" w:eastAsia="仿宋" w:cs="仿宋"/>
                <w:bCs/>
                <w:sz w:val="24"/>
                <w:szCs w:val="24"/>
                <w:lang w:val="zh-CN"/>
              </w:rPr>
              <w:t>(提供证明材料原件扫描件并加盖单位公章）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6" w:hRule="atLeast"/>
          <w:jc w:val="center"/>
        </w:trPr>
        <w:tc>
          <w:tcPr>
            <w:tcW w:w="1003" w:type="dxa"/>
            <w:vMerge w:val="continue"/>
            <w:tcBorders>
              <w:left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p>
        </w:tc>
        <w:tc>
          <w:tcPr>
            <w:tcW w:w="1039" w:type="dxa"/>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市场成熟度</w:t>
            </w:r>
          </w:p>
        </w:tc>
        <w:tc>
          <w:tcPr>
            <w:tcW w:w="829" w:type="dxa"/>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5分</w:t>
            </w:r>
          </w:p>
        </w:tc>
        <w:tc>
          <w:tcPr>
            <w:tcW w:w="67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4"/>
                <w:szCs w:val="24"/>
              </w:rPr>
            </w:pPr>
            <w:r>
              <w:rPr>
                <w:rFonts w:hint="eastAsia" w:ascii="仿宋" w:hAnsi="仿宋" w:eastAsia="仿宋" w:cs="仿宋"/>
                <w:bCs/>
                <w:sz w:val="24"/>
                <w:szCs w:val="24"/>
              </w:rPr>
              <w:t>针对供应商类似项目近两年内（以投标截止时间往前推算），满意度测评或社会评价业绩（以合同、中标通知书或验收报告为依据）进行评分，每提供一个用户单位得1分，最多得5分。（</w:t>
            </w:r>
            <w:r>
              <w:rPr>
                <w:rFonts w:hint="eastAsia" w:ascii="仿宋" w:hAnsi="仿宋" w:eastAsia="仿宋" w:cs="仿宋"/>
                <w:bCs/>
                <w:sz w:val="24"/>
                <w:szCs w:val="24"/>
                <w:lang w:val="zh-CN"/>
              </w:rPr>
              <w:t>提供上述材料原件扫描件并加盖单位公章</w:t>
            </w:r>
            <w:r>
              <w:rPr>
                <w:rFonts w:hint="eastAsia" w:ascii="仿宋" w:hAnsi="仿宋" w:eastAsia="仿宋" w:cs="仿宋"/>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6" w:hRule="atLeast"/>
          <w:jc w:val="center"/>
        </w:trPr>
        <w:tc>
          <w:tcPr>
            <w:tcW w:w="1003" w:type="dxa"/>
            <w:vMerge w:val="continue"/>
            <w:tcBorders>
              <w:left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p>
        </w:tc>
        <w:tc>
          <w:tcPr>
            <w:tcW w:w="1039" w:type="dxa"/>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辅助评审经验</w:t>
            </w:r>
          </w:p>
        </w:tc>
        <w:tc>
          <w:tcPr>
            <w:tcW w:w="829" w:type="dxa"/>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10分</w:t>
            </w:r>
          </w:p>
        </w:tc>
        <w:tc>
          <w:tcPr>
            <w:tcW w:w="67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4"/>
                <w:szCs w:val="24"/>
              </w:rPr>
            </w:pPr>
            <w:r>
              <w:rPr>
                <w:rFonts w:hint="eastAsia" w:ascii="仿宋" w:hAnsi="仿宋" w:eastAsia="仿宋" w:cs="仿宋"/>
                <w:bCs/>
                <w:sz w:val="24"/>
                <w:szCs w:val="24"/>
              </w:rPr>
              <w:t>供应商有辅助评审相关培训业务业绩（如：评审评价管理工具培训、医患沟通能力提升培训、质量管理培训）。每提供1份得5分，最多得10分。（提供中标通知书或合同</w:t>
            </w:r>
            <w:r>
              <w:rPr>
                <w:rFonts w:hint="eastAsia" w:ascii="仿宋" w:hAnsi="仿宋" w:eastAsia="仿宋" w:cs="仿宋"/>
                <w:bCs/>
                <w:sz w:val="24"/>
                <w:szCs w:val="24"/>
                <w:lang w:val="zh-CN"/>
              </w:rPr>
              <w:t>原件扫描件并加盖单位公章</w:t>
            </w:r>
            <w:r>
              <w:rPr>
                <w:rFonts w:hint="eastAsia" w:ascii="仿宋" w:hAnsi="仿宋" w:eastAsia="仿宋" w:cs="仿宋"/>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6" w:hRule="atLeast"/>
          <w:jc w:val="center"/>
        </w:trPr>
        <w:tc>
          <w:tcPr>
            <w:tcW w:w="1003" w:type="dxa"/>
            <w:vMerge w:val="restart"/>
            <w:tcBorders>
              <w:top w:val="single" w:color="auto" w:sz="4" w:space="0"/>
              <w:left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r>
              <w:rPr>
                <w:rFonts w:hint="eastAsia" w:ascii="仿宋" w:hAnsi="仿宋" w:eastAsia="仿宋" w:cs="仿宋"/>
                <w:kern w:val="0"/>
                <w:sz w:val="24"/>
                <w:szCs w:val="24"/>
              </w:rPr>
              <w:t>技术评议</w:t>
            </w:r>
          </w:p>
          <w:p>
            <w:pPr>
              <w:autoSpaceDE w:val="0"/>
              <w:autoSpaceDN w:val="0"/>
              <w:adjustRightInd w:val="0"/>
              <w:spacing w:line="360" w:lineRule="auto"/>
              <w:ind w:right="-20"/>
              <w:jc w:val="center"/>
              <w:rPr>
                <w:rFonts w:hint="eastAsia" w:ascii="仿宋" w:hAnsi="仿宋" w:eastAsia="仿宋" w:cs="仿宋"/>
                <w:kern w:val="0"/>
                <w:sz w:val="24"/>
                <w:szCs w:val="24"/>
              </w:rPr>
            </w:pPr>
            <w:r>
              <w:rPr>
                <w:rFonts w:hint="eastAsia" w:ascii="仿宋" w:hAnsi="仿宋" w:eastAsia="仿宋" w:cs="仿宋"/>
                <w:kern w:val="0"/>
                <w:sz w:val="24"/>
                <w:szCs w:val="24"/>
              </w:rPr>
              <w:t>（60分）</w:t>
            </w:r>
          </w:p>
        </w:tc>
        <w:tc>
          <w:tcPr>
            <w:tcW w:w="103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技术方案</w:t>
            </w:r>
          </w:p>
        </w:tc>
        <w:tc>
          <w:tcPr>
            <w:tcW w:w="82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15分</w:t>
            </w:r>
          </w:p>
        </w:tc>
        <w:tc>
          <w:tcPr>
            <w:tcW w:w="6749" w:type="dxa"/>
            <w:tcBorders>
              <w:top w:val="single" w:color="auto" w:sz="4" w:space="0"/>
              <w:left w:val="single" w:color="auto" w:sz="4" w:space="0"/>
              <w:right w:val="single" w:color="auto" w:sz="4" w:space="0"/>
            </w:tcBorders>
            <w:noWrap w:val="0"/>
            <w:vAlign w:val="center"/>
          </w:tcPr>
          <w:p>
            <w:pPr>
              <w:spacing w:line="360" w:lineRule="auto"/>
              <w:jc w:val="left"/>
              <w:rPr>
                <w:rFonts w:hint="eastAsia" w:ascii="仿宋" w:hAnsi="仿宋" w:eastAsia="仿宋" w:cs="仿宋"/>
                <w:bCs/>
                <w:sz w:val="24"/>
                <w:szCs w:val="24"/>
              </w:rPr>
            </w:pPr>
            <w:r>
              <w:rPr>
                <w:rFonts w:hint="eastAsia" w:ascii="仿宋" w:hAnsi="仿宋" w:eastAsia="仿宋" w:cs="仿宋"/>
                <w:bCs/>
                <w:sz w:val="24"/>
                <w:szCs w:val="24"/>
              </w:rPr>
              <w:t>根据投标文件中的要求提供服务方案、进度方案、质量保证措施方案、应急预案、保密方案等5项内容，按照每个方案的完整性及合理性酌情进行0-3分的评分（某个方案明显缺失或完全不可能执行得0分），本部分合计满分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1" w:hRule="atLeast"/>
          <w:jc w:val="center"/>
        </w:trPr>
        <w:tc>
          <w:tcPr>
            <w:tcW w:w="1003" w:type="dxa"/>
            <w:vMerge w:val="continue"/>
            <w:tcBorders>
              <w:left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p>
        </w:tc>
        <w:tc>
          <w:tcPr>
            <w:tcW w:w="103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用户评价</w:t>
            </w:r>
          </w:p>
        </w:tc>
        <w:tc>
          <w:tcPr>
            <w:tcW w:w="82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4分</w:t>
            </w:r>
          </w:p>
        </w:tc>
        <w:tc>
          <w:tcPr>
            <w:tcW w:w="6749" w:type="dxa"/>
            <w:tcBorders>
              <w:top w:val="single" w:color="auto" w:sz="4" w:space="0"/>
              <w:left w:val="single" w:color="auto" w:sz="4" w:space="0"/>
              <w:right w:val="single" w:color="auto" w:sz="4" w:space="0"/>
            </w:tcBorders>
            <w:noWrap w:val="0"/>
            <w:vAlign w:val="center"/>
          </w:tcPr>
          <w:p>
            <w:pPr>
              <w:spacing w:line="360" w:lineRule="auto"/>
              <w:jc w:val="left"/>
              <w:rPr>
                <w:rFonts w:hint="eastAsia" w:ascii="仿宋" w:hAnsi="仿宋" w:eastAsia="仿宋" w:cs="仿宋"/>
                <w:bCs/>
                <w:sz w:val="24"/>
                <w:szCs w:val="24"/>
              </w:rPr>
            </w:pPr>
            <w:r>
              <w:rPr>
                <w:rFonts w:hint="eastAsia" w:ascii="仿宋" w:hAnsi="仿宋" w:eastAsia="仿宋" w:cs="仿宋"/>
                <w:bCs/>
                <w:sz w:val="24"/>
                <w:szCs w:val="24"/>
              </w:rPr>
              <w:t>投标人提供近两年内（以投标截止时间往前推算），用户针对供应商第三方满意度服务项目的评价：用户评价整体优秀的每份1分，最多得4分；其他情况不得分。（用户评价需提供加盖用户公章，注明联系人、联系电话等，原件备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1" w:hRule="atLeast"/>
          <w:jc w:val="center"/>
        </w:trPr>
        <w:tc>
          <w:tcPr>
            <w:tcW w:w="1003" w:type="dxa"/>
            <w:vMerge w:val="continue"/>
            <w:tcBorders>
              <w:left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p>
        </w:tc>
        <w:tc>
          <w:tcPr>
            <w:tcW w:w="103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应急响应</w:t>
            </w:r>
          </w:p>
        </w:tc>
        <w:tc>
          <w:tcPr>
            <w:tcW w:w="82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6分</w:t>
            </w:r>
          </w:p>
        </w:tc>
        <w:tc>
          <w:tcPr>
            <w:tcW w:w="6749" w:type="dxa"/>
            <w:tcBorders>
              <w:top w:val="single" w:color="auto" w:sz="4" w:space="0"/>
              <w:left w:val="single" w:color="auto" w:sz="4" w:space="0"/>
              <w:right w:val="single" w:color="auto" w:sz="4" w:space="0"/>
            </w:tcBorders>
            <w:noWrap w:val="0"/>
            <w:vAlign w:val="center"/>
          </w:tcPr>
          <w:p>
            <w:pPr>
              <w:spacing w:line="360" w:lineRule="auto"/>
              <w:jc w:val="left"/>
              <w:rPr>
                <w:rFonts w:hint="eastAsia" w:ascii="仿宋" w:hAnsi="仿宋" w:eastAsia="仿宋" w:cs="仿宋"/>
                <w:bCs/>
                <w:sz w:val="24"/>
                <w:szCs w:val="24"/>
              </w:rPr>
            </w:pPr>
            <w:r>
              <w:rPr>
                <w:rFonts w:hint="eastAsia" w:ascii="仿宋" w:hAnsi="仿宋" w:eastAsia="仿宋" w:cs="仿宋"/>
                <w:bCs/>
                <w:sz w:val="24"/>
                <w:szCs w:val="24"/>
              </w:rPr>
              <w:t>根据供应商提供的应急响应承诺，接到采购人通知后，多长时间内到场响应配合进行评分。承诺</w:t>
            </w:r>
            <w:r>
              <w:rPr>
                <w:rFonts w:hint="eastAsia" w:ascii="仿宋" w:hAnsi="仿宋" w:eastAsia="仿宋" w:cs="仿宋"/>
                <w:bCs/>
                <w:sz w:val="24"/>
                <w:szCs w:val="24"/>
                <w:lang w:val="en-US" w:eastAsia="zh-CN"/>
              </w:rPr>
              <w:t>4</w:t>
            </w:r>
            <w:r>
              <w:rPr>
                <w:rFonts w:hint="eastAsia" w:ascii="仿宋" w:hAnsi="仿宋" w:eastAsia="仿宋" w:cs="仿宋"/>
                <w:bCs/>
                <w:sz w:val="24"/>
                <w:szCs w:val="24"/>
              </w:rPr>
              <w:t>小时内（含</w:t>
            </w:r>
            <w:r>
              <w:rPr>
                <w:rFonts w:hint="eastAsia" w:ascii="仿宋" w:hAnsi="仿宋" w:eastAsia="仿宋" w:cs="仿宋"/>
                <w:bCs/>
                <w:sz w:val="24"/>
                <w:szCs w:val="24"/>
                <w:lang w:val="en-US" w:eastAsia="zh-CN"/>
              </w:rPr>
              <w:t>4</w:t>
            </w:r>
            <w:r>
              <w:rPr>
                <w:rFonts w:hint="eastAsia" w:ascii="仿宋" w:hAnsi="仿宋" w:eastAsia="仿宋" w:cs="仿宋"/>
                <w:bCs/>
                <w:sz w:val="24"/>
                <w:szCs w:val="24"/>
              </w:rPr>
              <w:t>小时）到达现场并能提供支持证明（如办公地点、租赁合同、交通路线等）的得6分；承诺</w:t>
            </w:r>
            <w:r>
              <w:rPr>
                <w:rFonts w:hint="eastAsia" w:ascii="仿宋" w:hAnsi="仿宋" w:eastAsia="仿宋" w:cs="仿宋"/>
                <w:bCs/>
                <w:sz w:val="24"/>
                <w:szCs w:val="24"/>
                <w:lang w:val="en-US" w:eastAsia="zh-CN"/>
              </w:rPr>
              <w:t>6</w:t>
            </w:r>
            <w:r>
              <w:rPr>
                <w:rFonts w:hint="eastAsia" w:ascii="仿宋" w:hAnsi="仿宋" w:eastAsia="仿宋" w:cs="仿宋"/>
                <w:bCs/>
                <w:sz w:val="24"/>
                <w:szCs w:val="24"/>
              </w:rPr>
              <w:t>小时内（含</w:t>
            </w:r>
            <w:r>
              <w:rPr>
                <w:rFonts w:hint="eastAsia" w:ascii="仿宋" w:hAnsi="仿宋" w:eastAsia="仿宋" w:cs="仿宋"/>
                <w:bCs/>
                <w:sz w:val="24"/>
                <w:szCs w:val="24"/>
                <w:lang w:val="en-US" w:eastAsia="zh-CN"/>
              </w:rPr>
              <w:t>6</w:t>
            </w:r>
            <w:r>
              <w:rPr>
                <w:rFonts w:hint="eastAsia" w:ascii="仿宋" w:hAnsi="仿宋" w:eastAsia="仿宋" w:cs="仿宋"/>
                <w:bCs/>
                <w:sz w:val="24"/>
                <w:szCs w:val="24"/>
              </w:rPr>
              <w:t>小时）到达现场并能提供支持证明的得3分；承诺</w:t>
            </w:r>
            <w:r>
              <w:rPr>
                <w:rFonts w:hint="eastAsia" w:ascii="仿宋" w:hAnsi="仿宋" w:eastAsia="仿宋" w:cs="仿宋"/>
                <w:bCs/>
                <w:sz w:val="24"/>
                <w:szCs w:val="24"/>
                <w:lang w:val="en-US" w:eastAsia="zh-CN"/>
              </w:rPr>
              <w:t>8</w:t>
            </w:r>
            <w:r>
              <w:rPr>
                <w:rFonts w:hint="eastAsia" w:ascii="仿宋" w:hAnsi="仿宋" w:eastAsia="仿宋" w:cs="仿宋"/>
                <w:bCs/>
                <w:sz w:val="24"/>
                <w:szCs w:val="24"/>
              </w:rPr>
              <w:t>小时内（含</w:t>
            </w:r>
            <w:r>
              <w:rPr>
                <w:rFonts w:hint="eastAsia" w:ascii="仿宋" w:hAnsi="仿宋" w:eastAsia="仿宋" w:cs="仿宋"/>
                <w:bCs/>
                <w:sz w:val="24"/>
                <w:szCs w:val="24"/>
                <w:lang w:val="en-US" w:eastAsia="zh-CN"/>
              </w:rPr>
              <w:t>8</w:t>
            </w:r>
            <w:r>
              <w:rPr>
                <w:rFonts w:hint="eastAsia" w:ascii="仿宋" w:hAnsi="仿宋" w:eastAsia="仿宋" w:cs="仿宋"/>
                <w:bCs/>
                <w:sz w:val="24"/>
                <w:szCs w:val="24"/>
              </w:rPr>
              <w:t>小时）到达现场并能提供支持证明的得1分；承诺响应时间超过</w:t>
            </w:r>
            <w:r>
              <w:rPr>
                <w:rFonts w:hint="eastAsia" w:ascii="仿宋" w:hAnsi="仿宋" w:eastAsia="仿宋" w:cs="仿宋"/>
                <w:bCs/>
                <w:sz w:val="24"/>
                <w:szCs w:val="24"/>
                <w:lang w:val="en-US" w:eastAsia="zh-CN"/>
              </w:rPr>
              <w:t>8</w:t>
            </w:r>
            <w:r>
              <w:rPr>
                <w:rFonts w:hint="eastAsia" w:ascii="仿宋" w:hAnsi="仿宋" w:eastAsia="仿宋" w:cs="仿宋"/>
                <w:bCs/>
                <w:sz w:val="24"/>
                <w:szCs w:val="24"/>
              </w:rPr>
              <w:t>小时的不得分。仅承诺但无法提供证明文件的不得分，需支持甲方随时实地考察。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1" w:hRule="atLeast"/>
          <w:jc w:val="center"/>
        </w:trPr>
        <w:tc>
          <w:tcPr>
            <w:tcW w:w="1003" w:type="dxa"/>
            <w:vMerge w:val="continue"/>
            <w:tcBorders>
              <w:left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p>
        </w:tc>
        <w:tc>
          <w:tcPr>
            <w:tcW w:w="103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报告讲解及培训</w:t>
            </w:r>
          </w:p>
        </w:tc>
        <w:tc>
          <w:tcPr>
            <w:tcW w:w="82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10分</w:t>
            </w:r>
          </w:p>
        </w:tc>
        <w:tc>
          <w:tcPr>
            <w:tcW w:w="6749" w:type="dxa"/>
            <w:tcBorders>
              <w:top w:val="single" w:color="auto" w:sz="4" w:space="0"/>
              <w:left w:val="single" w:color="auto" w:sz="4" w:space="0"/>
              <w:right w:val="single" w:color="auto" w:sz="4" w:space="0"/>
            </w:tcBorders>
            <w:noWrap w:val="0"/>
            <w:vAlign w:val="center"/>
          </w:tcPr>
          <w:p>
            <w:pPr>
              <w:spacing w:line="360" w:lineRule="auto"/>
              <w:jc w:val="left"/>
              <w:rPr>
                <w:rFonts w:hint="eastAsia" w:ascii="仿宋" w:hAnsi="仿宋" w:eastAsia="仿宋" w:cs="仿宋"/>
                <w:bCs/>
                <w:sz w:val="24"/>
                <w:szCs w:val="24"/>
              </w:rPr>
            </w:pPr>
            <w:r>
              <w:rPr>
                <w:rFonts w:hint="eastAsia" w:ascii="仿宋" w:hAnsi="仿宋" w:eastAsia="仿宋" w:cs="仿宋"/>
                <w:bCs/>
                <w:sz w:val="24"/>
                <w:szCs w:val="24"/>
              </w:rPr>
              <w:t>投标人提供近两年内（以投标截止时间往前推算），有为用户提供调查报告讲解及培训的经验，每提供一个用户单位得1分，满分10分。（提供现场照片等证明材料）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1" w:hRule="atLeast"/>
          <w:jc w:val="center"/>
        </w:trPr>
        <w:tc>
          <w:tcPr>
            <w:tcW w:w="1003" w:type="dxa"/>
            <w:vMerge w:val="continue"/>
            <w:tcBorders>
              <w:left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p>
        </w:tc>
        <w:tc>
          <w:tcPr>
            <w:tcW w:w="103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公立医院绩效考核满意度讲解培训</w:t>
            </w:r>
          </w:p>
        </w:tc>
        <w:tc>
          <w:tcPr>
            <w:tcW w:w="82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9分</w:t>
            </w:r>
          </w:p>
        </w:tc>
        <w:tc>
          <w:tcPr>
            <w:tcW w:w="6749" w:type="dxa"/>
            <w:tcBorders>
              <w:top w:val="single" w:color="auto" w:sz="4" w:space="0"/>
              <w:left w:val="single" w:color="auto" w:sz="4" w:space="0"/>
              <w:right w:val="single" w:color="auto" w:sz="4" w:space="0"/>
            </w:tcBorders>
            <w:noWrap w:val="0"/>
            <w:vAlign w:val="center"/>
          </w:tcPr>
          <w:p>
            <w:pPr>
              <w:spacing w:line="360" w:lineRule="auto"/>
              <w:jc w:val="left"/>
              <w:rPr>
                <w:rFonts w:hint="eastAsia" w:ascii="仿宋" w:hAnsi="仿宋" w:eastAsia="仿宋" w:cs="仿宋"/>
                <w:bCs/>
                <w:sz w:val="24"/>
                <w:szCs w:val="24"/>
              </w:rPr>
            </w:pPr>
            <w:r>
              <w:rPr>
                <w:rFonts w:hint="eastAsia" w:ascii="仿宋" w:hAnsi="仿宋" w:eastAsia="仿宋" w:cs="仿宋"/>
                <w:bCs/>
                <w:sz w:val="24"/>
                <w:szCs w:val="24"/>
              </w:rPr>
              <w:t>投标人提供近两年内（以投标截止时间往前推算），有为用户单位提供公立医院绩效考核讲解培训的经验，每提供一个用户单位得3分，满分9分。（提供现场照片等证明材料）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1" w:hRule="atLeast"/>
          <w:jc w:val="center"/>
        </w:trPr>
        <w:tc>
          <w:tcPr>
            <w:tcW w:w="1003" w:type="dxa"/>
            <w:vMerge w:val="continue"/>
            <w:tcBorders>
              <w:left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p>
        </w:tc>
        <w:tc>
          <w:tcPr>
            <w:tcW w:w="103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拟派人员</w:t>
            </w:r>
          </w:p>
        </w:tc>
        <w:tc>
          <w:tcPr>
            <w:tcW w:w="82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10分</w:t>
            </w:r>
          </w:p>
        </w:tc>
        <w:tc>
          <w:tcPr>
            <w:tcW w:w="6749" w:type="dxa"/>
            <w:tcBorders>
              <w:top w:val="single" w:color="auto" w:sz="4" w:space="0"/>
              <w:left w:val="single" w:color="auto" w:sz="4" w:space="0"/>
              <w:right w:val="single" w:color="auto" w:sz="4" w:space="0"/>
            </w:tcBorders>
            <w:noWrap w:val="0"/>
            <w:vAlign w:val="center"/>
          </w:tcPr>
          <w:p>
            <w:pPr>
              <w:spacing w:line="360" w:lineRule="auto"/>
              <w:jc w:val="left"/>
              <w:rPr>
                <w:rFonts w:hint="eastAsia" w:ascii="仿宋" w:hAnsi="仿宋" w:eastAsia="仿宋" w:cs="仿宋"/>
                <w:bCs/>
                <w:sz w:val="24"/>
                <w:szCs w:val="24"/>
              </w:rPr>
            </w:pPr>
            <w:r>
              <w:rPr>
                <w:rFonts w:hint="eastAsia" w:ascii="仿宋" w:hAnsi="仿宋" w:eastAsia="仿宋" w:cs="仿宋"/>
                <w:bCs/>
                <w:sz w:val="24"/>
                <w:szCs w:val="24"/>
              </w:rPr>
              <w:t>针对本项目须提供合理人员安排，服务团队内有专业咨询人员，包含医疗、护理、管理学、药学等相关专业，具有有相关专业人员一人得2分，最高得10分。（服务团队至少须提供三个相关专业人员证件，且拟派人员需在公司有社保记录，证明材料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1" w:hRule="atLeast"/>
          <w:jc w:val="center"/>
        </w:trPr>
        <w:tc>
          <w:tcPr>
            <w:tcW w:w="1003" w:type="dxa"/>
            <w:vMerge w:val="continue"/>
            <w:tcBorders>
              <w:left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p>
        </w:tc>
        <w:tc>
          <w:tcPr>
            <w:tcW w:w="103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分析报告</w:t>
            </w:r>
          </w:p>
        </w:tc>
        <w:tc>
          <w:tcPr>
            <w:tcW w:w="82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6分</w:t>
            </w:r>
          </w:p>
        </w:tc>
        <w:tc>
          <w:tcPr>
            <w:tcW w:w="6749" w:type="dxa"/>
            <w:tcBorders>
              <w:top w:val="single" w:color="auto" w:sz="4" w:space="0"/>
              <w:left w:val="single" w:color="auto" w:sz="4" w:space="0"/>
              <w:right w:val="single" w:color="auto" w:sz="4" w:space="0"/>
            </w:tcBorders>
            <w:noWrap w:val="0"/>
            <w:vAlign w:val="center"/>
          </w:tcPr>
          <w:p>
            <w:pPr>
              <w:spacing w:line="360" w:lineRule="auto"/>
              <w:jc w:val="left"/>
              <w:rPr>
                <w:rFonts w:hint="eastAsia" w:ascii="仿宋" w:hAnsi="仿宋" w:eastAsia="仿宋" w:cs="仿宋"/>
                <w:bCs/>
                <w:sz w:val="24"/>
                <w:szCs w:val="24"/>
              </w:rPr>
            </w:pPr>
            <w:r>
              <w:rPr>
                <w:rFonts w:hint="eastAsia" w:ascii="仿宋" w:hAnsi="仿宋" w:eastAsia="仿宋" w:cs="仿宋"/>
                <w:bCs/>
                <w:sz w:val="24"/>
                <w:szCs w:val="24"/>
              </w:rPr>
              <w:t>投标人提供近两年内（以投标截止时间往前推算），对已完成类似项目的分析报告样本，报告目录条理清晰，能有效的展示调查情况，并提出合理的建议。每提供一份分析报告得1分，最多得6分。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96" w:hRule="atLeast"/>
          <w:jc w:val="center"/>
        </w:trPr>
        <w:tc>
          <w:tcPr>
            <w:tcW w:w="100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r>
              <w:rPr>
                <w:rFonts w:hint="eastAsia" w:ascii="仿宋" w:hAnsi="仿宋" w:eastAsia="仿宋" w:cs="仿宋"/>
                <w:kern w:val="0"/>
                <w:sz w:val="24"/>
                <w:szCs w:val="24"/>
              </w:rPr>
              <w:t>价格评议</w:t>
            </w:r>
          </w:p>
          <w:p>
            <w:pPr>
              <w:autoSpaceDE w:val="0"/>
              <w:autoSpaceDN w:val="0"/>
              <w:adjustRightInd w:val="0"/>
              <w:spacing w:line="360" w:lineRule="auto"/>
              <w:ind w:right="-20"/>
              <w:jc w:val="center"/>
              <w:rPr>
                <w:rFonts w:hint="eastAsia" w:ascii="仿宋" w:hAnsi="仿宋" w:eastAsia="仿宋" w:cs="仿宋"/>
                <w:kern w:val="0"/>
                <w:sz w:val="24"/>
                <w:szCs w:val="24"/>
              </w:rPr>
            </w:pPr>
            <w:r>
              <w:rPr>
                <w:rFonts w:hint="eastAsia" w:ascii="仿宋" w:hAnsi="仿宋" w:eastAsia="仿宋" w:cs="仿宋"/>
                <w:kern w:val="0"/>
                <w:sz w:val="24"/>
                <w:szCs w:val="24"/>
              </w:rPr>
              <w:t>（10分）</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r>
              <w:rPr>
                <w:rFonts w:hint="eastAsia" w:ascii="仿宋" w:hAnsi="仿宋" w:eastAsia="仿宋" w:cs="仿宋"/>
                <w:kern w:val="0"/>
                <w:sz w:val="24"/>
                <w:szCs w:val="24"/>
              </w:rPr>
              <w:t>价格分</w:t>
            </w:r>
          </w:p>
        </w:tc>
        <w:tc>
          <w:tcPr>
            <w:tcW w:w="82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ind w:right="-20"/>
              <w:jc w:val="center"/>
              <w:rPr>
                <w:rFonts w:hint="eastAsia" w:ascii="仿宋" w:hAnsi="仿宋" w:eastAsia="仿宋" w:cs="仿宋"/>
                <w:kern w:val="0"/>
                <w:sz w:val="24"/>
                <w:szCs w:val="24"/>
              </w:rPr>
            </w:pPr>
            <w:r>
              <w:rPr>
                <w:rFonts w:hint="eastAsia" w:ascii="仿宋" w:hAnsi="仿宋" w:eastAsia="仿宋" w:cs="仿宋"/>
                <w:kern w:val="0"/>
                <w:sz w:val="24"/>
                <w:szCs w:val="24"/>
              </w:rPr>
              <w:t>10分</w:t>
            </w:r>
          </w:p>
        </w:tc>
        <w:tc>
          <w:tcPr>
            <w:tcW w:w="674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hint="eastAsia" w:ascii="仿宋" w:hAnsi="仿宋" w:eastAsia="仿宋" w:cs="仿宋"/>
                <w:bCs/>
                <w:sz w:val="24"/>
                <w:szCs w:val="24"/>
              </w:rPr>
            </w:pPr>
            <w:r>
              <w:rPr>
                <w:rFonts w:hint="eastAsia" w:ascii="仿宋" w:hAnsi="仿宋" w:eastAsia="仿宋" w:cs="仿宋"/>
                <w:bCs/>
                <w:sz w:val="24"/>
                <w:szCs w:val="24"/>
              </w:rPr>
              <w:t>满足招标文件要求且报价最低的投标报价为评标基准价，其价格分为满分，以磋商最终报价计算价格分）。投标报价得分=(评标基准价／投标报价)×10（四舍五入后保留小数点后两位）</w:t>
            </w:r>
          </w:p>
        </w:tc>
      </w:tr>
    </w:tbl>
    <w:p>
      <w:pPr>
        <w:pStyle w:val="6"/>
        <w:numPr>
          <w:ilvl w:val="0"/>
          <w:numId w:val="0"/>
        </w:numPr>
        <w:spacing w:before="0" w:after="0"/>
        <w:jc w:val="center"/>
        <w:rPr>
          <w:rFonts w:ascii="黑体" w:hAnsi="黑体" w:eastAsia="黑体" w:cs="宋体"/>
          <w:b w:val="0"/>
          <w:color w:val="000000" w:themeColor="text1"/>
          <w:sz w:val="44"/>
          <w:szCs w:val="44"/>
        </w:rPr>
      </w:pPr>
    </w:p>
    <w:p/>
    <w:p>
      <w:pPr>
        <w:rPr>
          <w:rFonts w:ascii="黑体" w:hAnsi="黑体" w:eastAsia="黑体"/>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C42C9A"/>
    <w:multiLevelType w:val="multilevel"/>
    <w:tmpl w:val="45C42C9A"/>
    <w:lvl w:ilvl="0" w:tentative="0">
      <w:start w:val="1"/>
      <w:numFmt w:val="decimal"/>
      <w:lvlText w:val="%1"/>
      <w:lvlJc w:val="left"/>
      <w:pPr>
        <w:tabs>
          <w:tab w:val="left" w:pos="432"/>
        </w:tabs>
        <w:ind w:left="432" w:hanging="432"/>
      </w:pPr>
      <w:rPr>
        <w:rFonts w:cs="Times New Roman"/>
      </w:rPr>
    </w:lvl>
    <w:lvl w:ilvl="1" w:tentative="0">
      <w:start w:val="1"/>
      <w:numFmt w:val="decimal"/>
      <w:pStyle w:val="6"/>
      <w:lvlText w:val="%1.%2"/>
      <w:lvlJc w:val="left"/>
      <w:pPr>
        <w:tabs>
          <w:tab w:val="left" w:pos="576"/>
        </w:tabs>
        <w:ind w:left="576" w:hanging="576"/>
      </w:pPr>
      <w:rPr>
        <w:rFonts w:cs="Times New Roman"/>
      </w:rPr>
    </w:lvl>
    <w:lvl w:ilvl="2" w:tentative="0">
      <w:start w:val="1"/>
      <w:numFmt w:val="decimal"/>
      <w:lvlText w:val="%1.%2.%3"/>
      <w:lvlJc w:val="left"/>
      <w:pPr>
        <w:tabs>
          <w:tab w:val="left" w:pos="1260"/>
        </w:tabs>
        <w:ind w:left="1260" w:hanging="720"/>
      </w:pPr>
      <w:rPr>
        <w:rFonts w:cs="Times New Roman"/>
      </w:rPr>
    </w:lvl>
    <w:lvl w:ilvl="3" w:tentative="0">
      <w:start w:val="1"/>
      <w:numFmt w:val="decimal"/>
      <w:lvlText w:val="%1.%2.%3.%4"/>
      <w:lvlJc w:val="left"/>
      <w:pPr>
        <w:tabs>
          <w:tab w:val="left" w:pos="864"/>
        </w:tabs>
        <w:ind w:left="864" w:hanging="864"/>
      </w:pPr>
      <w:rPr>
        <w:rFonts w:cs="Times New Roman"/>
      </w:rPr>
    </w:lvl>
    <w:lvl w:ilvl="4" w:tentative="0">
      <w:start w:val="1"/>
      <w:numFmt w:val="decimal"/>
      <w:lvlText w:val="%1.%2.%3.%4.%5"/>
      <w:lvlJc w:val="left"/>
      <w:pPr>
        <w:tabs>
          <w:tab w:val="left" w:pos="1008"/>
        </w:tabs>
        <w:ind w:left="1008" w:hanging="1008"/>
      </w:pPr>
      <w:rPr>
        <w:rFonts w:cs="Times New Roman"/>
      </w:rPr>
    </w:lvl>
    <w:lvl w:ilvl="5" w:tentative="0">
      <w:start w:val="1"/>
      <w:numFmt w:val="decimal"/>
      <w:lvlText w:val="%1.%2.%3.%4.%5.%6"/>
      <w:lvlJc w:val="left"/>
      <w:pPr>
        <w:tabs>
          <w:tab w:val="left" w:pos="1152"/>
        </w:tabs>
        <w:ind w:left="1152" w:hanging="1152"/>
      </w:pPr>
      <w:rPr>
        <w:rFonts w:cs="Times New Roman"/>
      </w:rPr>
    </w:lvl>
    <w:lvl w:ilvl="6" w:tentative="0">
      <w:start w:val="1"/>
      <w:numFmt w:val="decimal"/>
      <w:lvlText w:val="%1.%2.%3.%4.%5.%6.%7"/>
      <w:lvlJc w:val="left"/>
      <w:pPr>
        <w:tabs>
          <w:tab w:val="left" w:pos="1296"/>
        </w:tabs>
        <w:ind w:left="1296" w:hanging="1296"/>
      </w:pPr>
      <w:rPr>
        <w:rFonts w:cs="Times New Roman"/>
      </w:rPr>
    </w:lvl>
    <w:lvl w:ilvl="7" w:tentative="0">
      <w:start w:val="1"/>
      <w:numFmt w:val="decimal"/>
      <w:lvlText w:val="%1.%2.%3.%4.%5.%6.%7.%8"/>
      <w:lvlJc w:val="left"/>
      <w:pPr>
        <w:tabs>
          <w:tab w:val="left" w:pos="1440"/>
        </w:tabs>
        <w:ind w:left="1440" w:hanging="1440"/>
      </w:pPr>
      <w:rPr>
        <w:rFonts w:cs="Times New Roman"/>
      </w:rPr>
    </w:lvl>
    <w:lvl w:ilvl="8" w:tentative="0">
      <w:start w:val="1"/>
      <w:numFmt w:val="decimal"/>
      <w:lvlText w:val="%1.%2.%3.%4.%5.%6.%7.%8.%9"/>
      <w:lvlJc w:val="left"/>
      <w:pPr>
        <w:tabs>
          <w:tab w:val="left" w:pos="1584"/>
        </w:tabs>
        <w:ind w:left="1584" w:hanging="1584"/>
      </w:pPr>
      <w:rPr>
        <w:rFonts w:cs="Times New Roman"/>
      </w:rPr>
    </w:lvl>
  </w:abstractNum>
  <w:abstractNum w:abstractNumId="1">
    <w:nsid w:val="54CE6D09"/>
    <w:multiLevelType w:val="singleLevel"/>
    <w:tmpl w:val="54CE6D09"/>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E1YTM2MTkxZjIzMTJlNWNkNWZhNzI3NTQ2ZGM0MmIifQ=="/>
  </w:docVars>
  <w:rsids>
    <w:rsidRoot w:val="00486CA5"/>
    <w:rsid w:val="00010AC6"/>
    <w:rsid w:val="0010130D"/>
    <w:rsid w:val="00112639"/>
    <w:rsid w:val="00113D30"/>
    <w:rsid w:val="0013743E"/>
    <w:rsid w:val="001560FE"/>
    <w:rsid w:val="00170105"/>
    <w:rsid w:val="001778BD"/>
    <w:rsid w:val="00195684"/>
    <w:rsid w:val="001B11EC"/>
    <w:rsid w:val="001C2821"/>
    <w:rsid w:val="0020032D"/>
    <w:rsid w:val="00250C5A"/>
    <w:rsid w:val="00282F72"/>
    <w:rsid w:val="00297B7B"/>
    <w:rsid w:val="002F1D3B"/>
    <w:rsid w:val="00356882"/>
    <w:rsid w:val="003734D9"/>
    <w:rsid w:val="00390B6F"/>
    <w:rsid w:val="003F5F3F"/>
    <w:rsid w:val="004677E3"/>
    <w:rsid w:val="00486CA5"/>
    <w:rsid w:val="004E15BC"/>
    <w:rsid w:val="004E47C4"/>
    <w:rsid w:val="005569AE"/>
    <w:rsid w:val="005576AF"/>
    <w:rsid w:val="005A05FC"/>
    <w:rsid w:val="005B5C16"/>
    <w:rsid w:val="005D35E0"/>
    <w:rsid w:val="005D413C"/>
    <w:rsid w:val="006532F0"/>
    <w:rsid w:val="006914FC"/>
    <w:rsid w:val="00694983"/>
    <w:rsid w:val="006B5349"/>
    <w:rsid w:val="006B5740"/>
    <w:rsid w:val="006C4A15"/>
    <w:rsid w:val="00720F4B"/>
    <w:rsid w:val="00751670"/>
    <w:rsid w:val="00785F0D"/>
    <w:rsid w:val="008B3194"/>
    <w:rsid w:val="009149A1"/>
    <w:rsid w:val="00925D39"/>
    <w:rsid w:val="00935FB3"/>
    <w:rsid w:val="009456B1"/>
    <w:rsid w:val="0096410C"/>
    <w:rsid w:val="009B698D"/>
    <w:rsid w:val="009D48ED"/>
    <w:rsid w:val="00AB1167"/>
    <w:rsid w:val="00AB47B5"/>
    <w:rsid w:val="00B17F4B"/>
    <w:rsid w:val="00B65E56"/>
    <w:rsid w:val="00B831C8"/>
    <w:rsid w:val="00BA7A52"/>
    <w:rsid w:val="00D36F2E"/>
    <w:rsid w:val="00D927D7"/>
    <w:rsid w:val="00DD4F5B"/>
    <w:rsid w:val="00DE1A2C"/>
    <w:rsid w:val="00E57D57"/>
    <w:rsid w:val="00E95891"/>
    <w:rsid w:val="00EB3179"/>
    <w:rsid w:val="00EC7DD0"/>
    <w:rsid w:val="00ED177C"/>
    <w:rsid w:val="00F60036"/>
    <w:rsid w:val="00FD080B"/>
    <w:rsid w:val="0E2B7675"/>
    <w:rsid w:val="17CB523F"/>
    <w:rsid w:val="19353F2D"/>
    <w:rsid w:val="209E0C14"/>
    <w:rsid w:val="22214859"/>
    <w:rsid w:val="30690F1D"/>
    <w:rsid w:val="3D10683F"/>
    <w:rsid w:val="46713CE7"/>
    <w:rsid w:val="52990B1C"/>
    <w:rsid w:val="5E9D1764"/>
    <w:rsid w:val="61FC3441"/>
    <w:rsid w:val="656B09FA"/>
    <w:rsid w:val="65C4618F"/>
    <w:rsid w:val="72A075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18"/>
    <w:qFormat/>
    <w:uiPriority w:val="0"/>
    <w:pPr>
      <w:keepNext/>
      <w:keepLines/>
      <w:numPr>
        <w:ilvl w:val="1"/>
        <w:numId w:val="1"/>
      </w:numPr>
      <w:spacing w:before="260" w:after="260" w:line="416" w:lineRule="auto"/>
      <w:ind w:left="0" w:firstLine="0"/>
      <w:outlineLvl w:val="1"/>
    </w:pPr>
    <w:rPr>
      <w:rFonts w:ascii="Cambria" w:hAnsi="Cambria" w:eastAsia="宋体" w:cs="Times New Roman"/>
      <w:b/>
      <w:bCs/>
      <w:kern w:val="0"/>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next w:val="4"/>
    <w:semiHidden/>
    <w:unhideWhenUsed/>
    <w:qFormat/>
    <w:uiPriority w:val="99"/>
    <w:pPr>
      <w:spacing w:after="120" w:afterLines="0" w:afterAutospacing="0"/>
      <w:ind w:left="420" w:leftChars="200"/>
    </w:pPr>
  </w:style>
  <w:style w:type="paragraph" w:styleId="4">
    <w:name w:val="envelope return"/>
    <w:basedOn w:val="1"/>
    <w:qFormat/>
    <w:uiPriority w:val="0"/>
    <w:pPr>
      <w:snapToGrid w:val="0"/>
    </w:pPr>
    <w:rPr>
      <w:rFonts w:ascii="Arial" w:hAnsi="Arial"/>
    </w:rPr>
  </w:style>
  <w:style w:type="paragraph" w:styleId="7">
    <w:name w:val="Body Text"/>
    <w:basedOn w:val="1"/>
    <w:next w:val="1"/>
    <w:qFormat/>
    <w:uiPriority w:val="99"/>
    <w:pPr>
      <w:spacing w:after="120"/>
    </w:pPr>
    <w:rPr>
      <w:rFonts w:ascii="Calibri" w:hAnsi="Calibri"/>
      <w:szCs w:val="21"/>
    </w:rPr>
  </w:style>
  <w:style w:type="paragraph" w:styleId="8">
    <w:name w:val="Plain Text"/>
    <w:basedOn w:val="1"/>
    <w:link w:val="21"/>
    <w:qFormat/>
    <w:uiPriority w:val="0"/>
    <w:pPr>
      <w:autoSpaceDE w:val="0"/>
      <w:autoSpaceDN w:val="0"/>
      <w:jc w:val="left"/>
    </w:pPr>
    <w:rPr>
      <w:rFonts w:ascii="宋体" w:hAnsi="Courier New" w:eastAsia="宋体" w:cs="宋体"/>
      <w:kern w:val="0"/>
      <w:szCs w:val="21"/>
      <w:lang w:val="zh-CN" w:bidi="zh-CN"/>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5">
    <w:name w:val="标题 2 字符"/>
    <w:basedOn w:val="14"/>
    <w:semiHidden/>
    <w:uiPriority w:val="9"/>
    <w:rPr>
      <w:rFonts w:asciiTheme="majorHAnsi" w:hAnsiTheme="majorHAnsi" w:eastAsiaTheme="majorEastAsia" w:cstheme="majorBidi"/>
      <w:b/>
      <w:bCs/>
      <w:sz w:val="32"/>
      <w:szCs w:val="32"/>
    </w:rPr>
  </w:style>
  <w:style w:type="character" w:customStyle="1" w:styleId="16">
    <w:name w:val="页眉 Char"/>
    <w:basedOn w:val="14"/>
    <w:link w:val="10"/>
    <w:qFormat/>
    <w:uiPriority w:val="99"/>
    <w:rPr>
      <w:sz w:val="18"/>
      <w:szCs w:val="18"/>
    </w:rPr>
  </w:style>
  <w:style w:type="character" w:customStyle="1" w:styleId="17">
    <w:name w:val="页脚 Char"/>
    <w:basedOn w:val="14"/>
    <w:link w:val="9"/>
    <w:qFormat/>
    <w:uiPriority w:val="99"/>
    <w:rPr>
      <w:sz w:val="18"/>
      <w:szCs w:val="18"/>
    </w:rPr>
  </w:style>
  <w:style w:type="character" w:customStyle="1" w:styleId="18">
    <w:name w:val="标题 2 Char"/>
    <w:link w:val="6"/>
    <w:qFormat/>
    <w:uiPriority w:val="0"/>
    <w:rPr>
      <w:rFonts w:ascii="Cambria" w:hAnsi="Cambria" w:eastAsia="宋体" w:cs="Times New Roman"/>
      <w:b/>
      <w:bCs/>
      <w:kern w:val="0"/>
      <w:sz w:val="28"/>
      <w:szCs w:val="28"/>
    </w:rPr>
  </w:style>
  <w:style w:type="paragraph" w:styleId="19">
    <w:name w:val="List Paragraph"/>
    <w:basedOn w:val="1"/>
    <w:qFormat/>
    <w:uiPriority w:val="34"/>
    <w:pPr>
      <w:ind w:firstLine="420" w:firstLineChars="200"/>
    </w:pPr>
  </w:style>
  <w:style w:type="character" w:customStyle="1" w:styleId="20">
    <w:name w:val="标题 1 Char"/>
    <w:basedOn w:val="14"/>
    <w:link w:val="5"/>
    <w:qFormat/>
    <w:uiPriority w:val="9"/>
    <w:rPr>
      <w:b/>
      <w:bCs/>
      <w:kern w:val="44"/>
      <w:sz w:val="44"/>
      <w:szCs w:val="44"/>
    </w:rPr>
  </w:style>
  <w:style w:type="character" w:customStyle="1" w:styleId="21">
    <w:name w:val="纯文本 Char"/>
    <w:basedOn w:val="14"/>
    <w:link w:val="8"/>
    <w:qFormat/>
    <w:uiPriority w:val="0"/>
    <w:rPr>
      <w:rFonts w:ascii="宋体" w:hAnsi="Courier New" w:eastAsia="宋体" w:cs="宋体"/>
      <w:kern w:val="0"/>
      <w:szCs w:val="21"/>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5</Pages>
  <Words>2478</Words>
  <Characters>2530</Characters>
  <Lines>34</Lines>
  <Paragraphs>9</Paragraphs>
  <TotalTime>10</TotalTime>
  <ScaleCrop>false</ScaleCrop>
  <LinksUpToDate>false</LinksUpToDate>
  <CharactersWithSpaces>2531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2023-01-05T08:43:00Z</dcterms:created>
  <dc:creator>admin</dc:creator>
  <cp:lastModifiedBy>Administrator</cp:lastModifiedBy>
  <cp:lastPrinted>2023-03-03T00:02:00Z</cp:lastPrinted>
  <dcterms:modified xsi:type="dcterms:W3CDTF">2024-02-21T03:22:16Z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9A12E3BEC87C4D7BB704B050A71037ED</vt:lpwstr>
  </property>
</Properties>
</file>