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2023年年度财务审计报告的扫描件或银行出具的资信证明或专业担保机构对中小型供应商进行资信审查后出具的投标担保函（本年度新成立公司提供投标截止时间前一个月财务状况报告原件的扫描件）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2023年1月至今有任意3个月企业纳税证明（纳税凭证或银行回执扫描件）；2023年1月至今有任意3个月企业为员工缴纳社会保障资金证明等（缴纳凭证或银行回执扫描件或社保部门出具证明）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供应商在荆州市内具备有效的《危险废物经营许可证》</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4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合同签订后按季度付款</w:t>
            </w:r>
            <w:bookmarkStart w:id="0" w:name="_GoBack"/>
            <w:bookmarkEnd w:id="0"/>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0135A4"/>
    <w:rsid w:val="19AE1899"/>
    <w:rsid w:val="200135A4"/>
    <w:rsid w:val="3CB54F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2024-09-29T02:37:00Z</dcterms:created>
  <dc:creator>现实</dc:creator>
  <cp:lastModifiedBy>现实</cp:lastModifiedBy>
  <dcterms:modified xsi:type="dcterms:W3CDTF">2024-10-11T01:47:55Z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