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480" w:lineRule="exact"/>
        <w:jc w:val="both"/>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附件2：</w:t>
      </w:r>
    </w:p>
    <w:p>
      <w:pPr>
        <w:keepNext w:val="0"/>
        <w:keepLines w:val="0"/>
        <w:pageBreakBefore w:val="0"/>
        <w:kinsoku/>
        <w:wordWrap/>
        <w:overflowPunct/>
        <w:topLinePunct w:val="0"/>
        <w:bidi w:val="0"/>
        <w:adjustRightInd/>
        <w:snapToGrid/>
        <w:spacing w:line="480" w:lineRule="exact"/>
        <w:jc w:val="center"/>
        <w:textAlignment w:val="auto"/>
        <w:rPr>
          <w:rFonts w:hint="eastAsia" w:ascii="宋体" w:hAnsi="宋体" w:eastAsia="宋体" w:cs="宋体"/>
          <w:b/>
          <w:bCs/>
          <w:color w:val="000000"/>
          <w:sz w:val="36"/>
          <w:szCs w:val="36"/>
          <w:lang w:val="en-US" w:eastAsia="zh-CN"/>
        </w:rPr>
      </w:pPr>
    </w:p>
    <w:p>
      <w:pPr>
        <w:keepNext w:val="0"/>
        <w:keepLines w:val="0"/>
        <w:pageBreakBefore w:val="0"/>
        <w:kinsoku/>
        <w:wordWrap/>
        <w:overflowPunct/>
        <w:topLinePunct w:val="0"/>
        <w:bidi w:val="0"/>
        <w:adjustRightInd/>
        <w:snapToGrid/>
        <w:spacing w:line="480" w:lineRule="exact"/>
        <w:jc w:val="center"/>
        <w:textAlignment w:val="auto"/>
        <w:rPr>
          <w:rFonts w:hint="eastAsia" w:ascii="宋体" w:hAnsi="宋体" w:eastAsia="宋体" w:cs="宋体"/>
          <w:b/>
          <w:bCs/>
          <w:color w:val="000000"/>
          <w:sz w:val="36"/>
          <w:szCs w:val="36"/>
          <w:lang w:val="en-US" w:eastAsia="zh-CN"/>
        </w:rPr>
      </w:pPr>
      <w:r>
        <w:rPr>
          <w:rFonts w:hint="eastAsia" w:ascii="宋体" w:hAnsi="宋体" w:eastAsia="宋体" w:cs="宋体"/>
          <w:b/>
          <w:bCs/>
          <w:color w:val="000000"/>
          <w:sz w:val="36"/>
          <w:szCs w:val="36"/>
          <w:lang w:val="en-US" w:eastAsia="zh-CN"/>
        </w:rPr>
        <w:t>技术参数</w:t>
      </w:r>
    </w:p>
    <w:p>
      <w:pPr>
        <w:keepNext w:val="0"/>
        <w:keepLines w:val="0"/>
        <w:pageBreakBefore w:val="0"/>
        <w:kinsoku/>
        <w:wordWrap/>
        <w:overflowPunct/>
        <w:topLinePunct w:val="0"/>
        <w:bidi w:val="0"/>
        <w:adjustRightInd/>
        <w:snapToGrid/>
        <w:spacing w:line="480" w:lineRule="exact"/>
        <w:jc w:val="both"/>
        <w:textAlignment w:val="auto"/>
        <w:rPr>
          <w:rFonts w:hint="eastAsia" w:ascii="Times New Roman" w:hAnsi="Times New Roman" w:eastAsia="楷体" w:cs="Times New Roman"/>
          <w:b/>
          <w:bCs/>
          <w:color w:val="000000"/>
          <w:sz w:val="28"/>
          <w:szCs w:val="28"/>
          <w:lang w:val="en-US" w:eastAsia="zh-CN"/>
        </w:rPr>
      </w:pPr>
      <w:r>
        <w:rPr>
          <w:rFonts w:hint="eastAsia" w:ascii="Times New Roman" w:hAnsi="Times New Roman" w:eastAsia="楷体" w:cs="Times New Roman"/>
          <w:b/>
          <w:bCs/>
          <w:color w:val="000000"/>
          <w:sz w:val="28"/>
          <w:szCs w:val="28"/>
          <w:lang w:val="en-US" w:eastAsia="zh-CN"/>
        </w:rPr>
        <w:t>一、COD水质在线监测仪</w:t>
      </w:r>
    </w:p>
    <w:tbl>
      <w:tblPr>
        <w:tblStyle w:val="7"/>
        <w:tblW w:w="990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测量方法</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国家标准：GB11914-89《水质化学需氧量测定重铬酸盐法》行业标准：HJ377-2019《化学需氧量COD（Cr）水质在线自动监测仪技术要求》</w:t>
            </w:r>
            <w:r>
              <w:rPr>
                <w:rFonts w:hint="eastAsia" w:ascii="仿宋" w:hAnsi="仿宋" w:eastAsia="仿宋" w:cs="仿宋"/>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测量范围</w:t>
            </w:r>
          </w:p>
        </w:tc>
        <w:tc>
          <w:tcPr>
            <w:tcW w:w="7560" w:type="dxa"/>
            <w:vAlign w:val="center"/>
          </w:tcPr>
          <w:p>
            <w:pPr>
              <w:keepNext w:val="0"/>
              <w:keepLines w:val="0"/>
              <w:pageBreakBefore w:val="0"/>
              <w:widowControl/>
              <w:kinsoku/>
              <w:wordWrap/>
              <w:overflowPunct/>
              <w:topLinePunct w:val="0"/>
              <w:autoSpaceDE w:val="0"/>
              <w:autoSpaceDN w:val="0"/>
              <w:bidi w:val="0"/>
              <w:adjustRightInd/>
              <w:snapToGrid/>
              <w:spacing w:before="70" w:after="0" w:line="480" w:lineRule="exact"/>
              <w:ind w:left="0" w:right="0" w:firstLine="0"/>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0-200mg/L、0-500mg/L、0-1000mg/L三种量程范围任意可选，并可根据要求另行扩展其他量程范围。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定量下限▲</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≤15mg/L，最低0.6mg/L；（提供CMA检测报告原件扫描件）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示值误差▲</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标准溶液测试20%浓度时误差最低达到0.3%；50%浓度时误差最低达到0.6%；80%浓度时误差最低达到0.3%；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测量周期</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小于50分钟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显示单元</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7寸触摸屏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24h低浓度漂移▲</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±5mg/L，最低达到0.2mg/L；（提供CMA检测报告原件扫描件）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24h高浓度漂移▲</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≤5%，最低达到0.4%；（提供CMA检测报告原件扫描件）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重复性▲</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≤5.0%，最低达到0.8%；（提供CMA检测报告原件扫描件）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废液废水分离设计</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具有废液和废水分管路收集功能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量程自动切换</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具有量程自动切换功能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阀体单元▲</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采用多联体电磁排阀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输出单元</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含RS232，RS485，4-20mA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定量进样</w:t>
            </w:r>
          </w:p>
        </w:tc>
        <w:tc>
          <w:tcPr>
            <w:tcW w:w="7560" w:type="dxa"/>
            <w:vAlign w:val="center"/>
          </w:tcPr>
          <w:p>
            <w:pPr>
              <w:keepNext w:val="0"/>
              <w:keepLines w:val="0"/>
              <w:pageBreakBefore w:val="0"/>
              <w:widowControl/>
              <w:kinsoku/>
              <w:wordWrap/>
              <w:overflowPunct/>
              <w:topLinePunct w:val="0"/>
              <w:autoSpaceDE w:val="0"/>
              <w:autoSpaceDN w:val="0"/>
              <w:bidi w:val="0"/>
              <w:adjustRightInd/>
              <w:snapToGrid/>
              <w:spacing w:before="70" w:after="0" w:line="480" w:lineRule="exact"/>
              <w:ind w:left="0" w:right="0" w:firstLine="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color w:val="000000"/>
                <w:sz w:val="24"/>
                <w:szCs w:val="24"/>
              </w:rPr>
              <w:t>采用光电计量，蠕动泵负压方式进样；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校准核查</w:t>
            </w:r>
          </w:p>
        </w:tc>
        <w:tc>
          <w:tcPr>
            <w:tcW w:w="7560" w:type="dxa"/>
            <w:vAlign w:val="center"/>
          </w:tcPr>
          <w:p>
            <w:pPr>
              <w:keepNext w:val="0"/>
              <w:keepLines w:val="0"/>
              <w:pageBreakBefore w:val="0"/>
              <w:widowControl/>
              <w:kinsoku/>
              <w:wordWrap/>
              <w:overflowPunct/>
              <w:topLinePunct w:val="0"/>
              <w:autoSpaceDE w:val="0"/>
              <w:autoSpaceDN w:val="0"/>
              <w:bidi w:val="0"/>
              <w:adjustRightInd/>
              <w:snapToGrid/>
              <w:spacing w:before="26" w:after="0" w:line="480" w:lineRule="exact"/>
              <w:ind w:left="106" w:right="144" w:firstLine="0"/>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具备设置定时自动核查自动校准；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环保认证</w:t>
            </w:r>
          </w:p>
        </w:tc>
        <w:tc>
          <w:tcPr>
            <w:tcW w:w="7560" w:type="dxa"/>
            <w:vAlign w:val="center"/>
          </w:tcPr>
          <w:p>
            <w:pPr>
              <w:keepNext w:val="0"/>
              <w:keepLines w:val="0"/>
              <w:pageBreakBefore w:val="0"/>
              <w:widowControl/>
              <w:kinsoku/>
              <w:wordWrap/>
              <w:overflowPunct/>
              <w:topLinePunct w:val="0"/>
              <w:autoSpaceDE w:val="0"/>
              <w:autoSpaceDN w:val="0"/>
              <w:bidi w:val="0"/>
              <w:adjustRightInd/>
              <w:snapToGrid/>
              <w:spacing w:before="70" w:after="0" w:line="480" w:lineRule="exact"/>
              <w:ind w:left="0" w:right="0" w:firstLine="0"/>
              <w:jc w:val="both"/>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▲环保认证检测应符合《化学需氧量（CODCr）水质在线自动监测仪技术要求及检测方法》HJ377-2019的</w:t>
            </w:r>
            <w:r>
              <w:rPr>
                <w:rFonts w:hint="eastAsia" w:ascii="仿宋" w:hAnsi="仿宋" w:eastAsia="仿宋" w:cs="仿宋"/>
                <w:color w:val="000000"/>
                <w:sz w:val="24"/>
                <w:szCs w:val="24"/>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234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计量型批报告</w:t>
            </w:r>
          </w:p>
        </w:tc>
        <w:tc>
          <w:tcPr>
            <w:tcW w:w="756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▲在线分析仪应具备省级检测计量院出具的计量器具型式评价报告和计量器具型式批准证书，复印件需加</w:t>
            </w:r>
          </w:p>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盖厂家公章证明。</w:t>
            </w:r>
          </w:p>
        </w:tc>
      </w:tr>
    </w:tbl>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b/>
          <w:bCs/>
          <w:color w:val="000000"/>
          <w:sz w:val="28"/>
          <w:szCs w:val="28"/>
          <w:lang w:val="en-US" w:eastAsia="zh-CN"/>
        </w:rPr>
      </w:pPr>
      <w:r>
        <w:rPr>
          <w:rFonts w:hint="eastAsia" w:ascii="Times New Roman" w:hAnsi="Times New Roman" w:eastAsia="楷体" w:cs="Times New Roman"/>
          <w:b/>
          <w:bCs/>
          <w:color w:val="000000"/>
          <w:sz w:val="28"/>
          <w:szCs w:val="28"/>
          <w:lang w:val="en-US" w:eastAsia="zh-CN"/>
        </w:rPr>
        <w:t>二、</w:t>
      </w:r>
      <w:r>
        <w:rPr>
          <w:rFonts w:hint="default" w:ascii="Times New Roman" w:hAnsi="Times New Roman" w:eastAsia="楷体" w:cs="Times New Roman"/>
          <w:b/>
          <w:bCs/>
          <w:color w:val="000000"/>
          <w:sz w:val="28"/>
          <w:szCs w:val="28"/>
          <w:lang w:val="en-US" w:eastAsia="zh-CN"/>
        </w:rPr>
        <w:t>氨氮水质在线分析仪</w:t>
      </w:r>
    </w:p>
    <w:tbl>
      <w:tblPr>
        <w:tblStyle w:val="7"/>
        <w:tblW w:w="973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7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测量方法</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国家标准：GB7481-87《水质-铵测定-水杨酸分光光度法》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测量范围</w:t>
            </w:r>
          </w:p>
        </w:tc>
        <w:tc>
          <w:tcPr>
            <w:tcW w:w="7320" w:type="dxa"/>
            <w:vAlign w:val="center"/>
          </w:tcPr>
          <w:p>
            <w:pPr>
              <w:keepNext w:val="0"/>
              <w:keepLines w:val="0"/>
              <w:pageBreakBefore w:val="0"/>
              <w:widowControl/>
              <w:kinsoku/>
              <w:wordWrap/>
              <w:overflowPunct/>
              <w:topLinePunct w:val="0"/>
              <w:autoSpaceDE w:val="0"/>
              <w:autoSpaceDN w:val="0"/>
              <w:bidi w:val="0"/>
              <w:adjustRightInd/>
              <w:snapToGrid/>
              <w:spacing w:before="0" w:after="0" w:line="480" w:lineRule="exact"/>
              <w:ind w:left="0" w:right="0" w:firstLine="0"/>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0</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2mg/L、0</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10mg/L、0</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50mg/L、0</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300mg/L三种量程范标准：HJ101-2019《氨氮水质自动分析仪技术要求》</w:t>
            </w:r>
            <w:r>
              <w:rPr>
                <w:rFonts w:hint="eastAsia" w:ascii="仿宋" w:hAnsi="仿宋" w:eastAsia="仿宋" w:cs="仿宋"/>
                <w:sz w:val="24"/>
                <w:szCs w:val="24"/>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定量下限▲</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≤0.15mg/L，最低0.008mg/L；（提供CMA检测报告原件扫描件）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示值误差▲</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标准溶液测试20%浓度时误差最低达到±0.4%；50%浓度时误差最低达到±0.6%；80%浓度时误差最低达到±1.9%；（提供CMA检测报告原件扫描件）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测量周期</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小于40分钟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显示单元</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7寸触摸屏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24h低浓度漂移▲</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≤0.02mg/L，最低达到0.002mg/L；（提供CMA检测报告原件扫描件）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24h高浓度漂移▲</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≤1%，最低达到0.01%；（提供CMA检测报告原件扫描件）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重复性▲</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≤2.0%，＜最低达到0.5%；（提供CMA检测报告原件扫描件）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废液废水分离设计</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具有废液和废水分管路收集功能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量程自动切换</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具有量程自动切换功能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阀体单元▲</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采用多联体电磁排阀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输出单元</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含RS232，RS485，4-20mA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定量进样</w:t>
            </w:r>
          </w:p>
        </w:tc>
        <w:tc>
          <w:tcPr>
            <w:tcW w:w="7320" w:type="dxa"/>
            <w:vAlign w:val="center"/>
          </w:tcPr>
          <w:p>
            <w:pPr>
              <w:keepNext w:val="0"/>
              <w:keepLines w:val="0"/>
              <w:pageBreakBefore w:val="0"/>
              <w:widowControl/>
              <w:kinsoku/>
              <w:wordWrap/>
              <w:overflowPunct/>
              <w:topLinePunct w:val="0"/>
              <w:autoSpaceDE w:val="0"/>
              <w:autoSpaceDN w:val="0"/>
              <w:bidi w:val="0"/>
              <w:adjustRightInd/>
              <w:snapToGrid/>
              <w:spacing w:before="70" w:after="0" w:line="480" w:lineRule="exact"/>
              <w:ind w:left="0" w:right="0" w:firstLine="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color w:val="000000"/>
                <w:sz w:val="24"/>
                <w:szCs w:val="24"/>
              </w:rPr>
              <w:t>采用光电计量，蠕动泵负压方式进样；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校准核查</w:t>
            </w:r>
          </w:p>
        </w:tc>
        <w:tc>
          <w:tcPr>
            <w:tcW w:w="7320" w:type="dxa"/>
            <w:vAlign w:val="center"/>
          </w:tcPr>
          <w:p>
            <w:pPr>
              <w:keepNext w:val="0"/>
              <w:keepLines w:val="0"/>
              <w:pageBreakBefore w:val="0"/>
              <w:widowControl/>
              <w:kinsoku/>
              <w:wordWrap/>
              <w:overflowPunct/>
              <w:topLinePunct w:val="0"/>
              <w:autoSpaceDE w:val="0"/>
              <w:autoSpaceDN w:val="0"/>
              <w:bidi w:val="0"/>
              <w:adjustRightInd/>
              <w:snapToGrid/>
              <w:spacing w:before="26" w:after="0" w:line="480" w:lineRule="exact"/>
              <w:ind w:left="106" w:right="144" w:firstLine="0"/>
              <w:jc w:val="both"/>
              <w:textAlignment w:val="auto"/>
              <w:rPr>
                <w:rFonts w:hint="eastAsia" w:ascii="仿宋" w:hAnsi="仿宋" w:eastAsia="仿宋" w:cs="仿宋"/>
                <w:sz w:val="24"/>
                <w:szCs w:val="24"/>
                <w:vertAlign w:val="baseline"/>
              </w:rPr>
            </w:pPr>
            <w:r>
              <w:rPr>
                <w:rFonts w:hint="eastAsia" w:ascii="仿宋" w:hAnsi="仿宋" w:eastAsia="仿宋" w:cs="仿宋"/>
                <w:color w:val="000000"/>
                <w:sz w:val="24"/>
                <w:szCs w:val="24"/>
              </w:rPr>
              <w:t>具备设置定时自动核查自动校准；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环保认证</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▲环保认证检测应符合《氨氮水质在线自动监测仪技术要求及检测方法》HJ101-2019的要求。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计量型批报告</w:t>
            </w:r>
          </w:p>
        </w:tc>
        <w:tc>
          <w:tcPr>
            <w:tcW w:w="732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▲在线分析仪应具备省级检测计量院出具的计量器具型式评价报告和计量器具型式批准证书，复印件需加盖厂家公章证明。</w:t>
            </w:r>
          </w:p>
        </w:tc>
      </w:tr>
    </w:tbl>
    <w:p>
      <w:pPr>
        <w:keepNext w:val="0"/>
        <w:keepLines w:val="0"/>
        <w:pageBreakBefore w:val="0"/>
        <w:widowControl/>
        <w:kinsoku/>
        <w:wordWrap/>
        <w:overflowPunct/>
        <w:topLinePunct w:val="0"/>
        <w:autoSpaceDE w:val="0"/>
        <w:autoSpaceDN w:val="0"/>
        <w:bidi w:val="0"/>
        <w:adjustRightInd/>
        <w:snapToGrid/>
        <w:spacing w:before="72" w:after="242" w:line="480" w:lineRule="exact"/>
        <w:ind w:right="0"/>
        <w:jc w:val="left"/>
        <w:textAlignment w:val="auto"/>
        <w:rPr>
          <w:rFonts w:hint="default" w:ascii="Times New Roman" w:hAnsi="Times New Roman" w:eastAsia="楷体" w:cs="Times New Roman"/>
          <w:b/>
          <w:color w:val="000000"/>
          <w:sz w:val="28"/>
          <w:szCs w:val="28"/>
        </w:rPr>
      </w:pPr>
      <w:r>
        <w:rPr>
          <w:rFonts w:hint="eastAsia" w:ascii="仿宋" w:hAnsi="仿宋" w:eastAsia="仿宋" w:cs="仿宋"/>
          <w:b/>
          <w:color w:val="000000"/>
          <w:sz w:val="28"/>
          <w:szCs w:val="28"/>
          <w:lang w:eastAsia="zh-CN"/>
        </w:rPr>
        <w:t>三、</w:t>
      </w:r>
      <w:r>
        <w:rPr>
          <w:rFonts w:hint="eastAsia" w:ascii="仿宋" w:hAnsi="仿宋" w:eastAsia="仿宋" w:cs="仿宋"/>
          <w:b/>
          <w:color w:val="000000"/>
          <w:sz w:val="28"/>
          <w:szCs w:val="28"/>
        </w:rPr>
        <w:t>其他水质在线分析仪</w:t>
      </w:r>
    </w:p>
    <w:tbl>
      <w:tblPr>
        <w:tblStyle w:val="7"/>
        <w:tblW w:w="9730"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565"/>
        <w:gridCol w:w="7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1</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数采仪</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1.整机采用工业级设计标准，高性能，高可靠性</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2.整机达到IP65防护等级</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3.支持多中心数据传送</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4.内置备用电池，断电情况下可继续工作6小时以上</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5.可软件导出历史数据</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6.采集器代码可远程升级</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sz w:val="28"/>
                <w:szCs w:val="28"/>
                <w:vertAlign w:val="baseline"/>
              </w:rPr>
            </w:pPr>
            <w:r>
              <w:rPr>
                <w:rFonts w:hint="default" w:ascii="仿宋" w:hAnsi="仿宋" w:eastAsia="仿宋" w:cs="仿宋"/>
                <w:color w:val="000000"/>
                <w:sz w:val="24"/>
                <w:szCs w:val="24"/>
              </w:rPr>
              <w:t>7.设备同时配置GPRS和以太网通信方式，用户可在人机界面上随时切换通信方式内置国内主流仪器厂商通讯协议。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2</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明渠流量计</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1.超声波明渠流量计</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2.结构：一体式和分体式</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3.测量范围：0.1m³/h-99999.99m³/h，根据不同堰槽决定</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4.累计流量：有最大累计流量</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5.液位测量精度：0.5%</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6.分辨率：3mm或0.1%（取大者）</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7.流量测量精度：标准堰槽1-5%</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8.供电：220V/24V/12V</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9.防护等级：显示仪表IP66，探头IP68</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sz w:val="28"/>
                <w:szCs w:val="28"/>
                <w:vertAlign w:val="baseline"/>
              </w:rPr>
            </w:pPr>
            <w:r>
              <w:rPr>
                <w:rFonts w:hint="default" w:ascii="仿宋" w:hAnsi="仿宋" w:eastAsia="仿宋" w:cs="仿宋"/>
                <w:color w:val="000000"/>
                <w:sz w:val="24"/>
                <w:szCs w:val="24"/>
              </w:rPr>
              <w:t>10.含RS232，RS485，4-20mA输出单元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3</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pH</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1.测量范围：pH：0.01-14.00pH；ORP：－1999-＋1999mV；温度：-5-110.0℃；</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2.分辨率：pH：0.01pH；ORP：1mV；</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3.基本误差：pH：±0.1pH；ORP：±3mV；温度：±0.5℃；</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4.自动或手动温度补偿范围：0-110℃；</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5.稳定性：pH：≤0.02pH/24h；ORP：≤2mV/24h；</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6.信号输出：0-10mA(负载电阻＜1.5KΩ)；4-20mA(负载电阻＜750Ω)；可选：0-5V，0-10V（需预定）；</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7.两组继电器控制触点：3A240VAC，6A28VDC或120VAC；</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8.电源：220VAC±10%，50±1Hz，功率≤3W；</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color w:val="000000"/>
                <w:sz w:val="28"/>
                <w:szCs w:val="28"/>
              </w:rPr>
            </w:pPr>
            <w:r>
              <w:rPr>
                <w:rFonts w:hint="default" w:ascii="仿宋" w:hAnsi="仿宋" w:eastAsia="仿宋" w:cs="仿宋"/>
                <w:color w:val="000000"/>
                <w:sz w:val="24"/>
                <w:szCs w:val="24"/>
              </w:rPr>
              <w:t>9.工作环境：环境温度：-10-60℃；相对湿度：不大于90%；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4</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余氯</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1.测量范围：余氯（可设置）：0-20.00mg/L（ppm）；温度：0-60℃；</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2.分辨率：余氯：0.001mg/L；温度：0.1℃；自动或手动温度补偿范围：0-60℃（基准温度25℃）</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3.pH补偿范围：手动pH补偿</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4.响应时间：&lt;2min(90%，20℃)</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5.流通式安装最低流量：15cm3/S（保持恒定流速）</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6.稳定性：在常温下，每月漂移&lt;2%F•S</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7.隔离信号输出：0-10mA(负载电阻＜1.5KΩ)；4-20mA(负载电阻＜750Ω)；</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8.两组继电器控制触点：3A240VAC，6A28VDC或120VAC；</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color w:val="000000"/>
                <w:sz w:val="28"/>
                <w:szCs w:val="28"/>
              </w:rPr>
            </w:pPr>
            <w:r>
              <w:rPr>
                <w:rFonts w:hint="default" w:ascii="仿宋" w:hAnsi="仿宋" w:eastAsia="仿宋" w:cs="仿宋"/>
                <w:color w:val="000000"/>
                <w:sz w:val="24"/>
                <w:szCs w:val="24"/>
              </w:rPr>
              <w:t>9.电源：220VAC±10%，50±1Hz，功率≤3W；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5</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巴氏槽（根据实际流量选型）</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巴歇尔量水槽由上游收缩段、短直喉道和下游扩散段三部分组成。收缩段的槽底向下游倾斜，扩散段槽底的倾斜方向与喉道槽底相反。</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量水槽上下游护底长都为槽底高H的函数:上游护底L=4H；</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下游护底L=(6^-8)H；</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color w:val="000000"/>
                <w:sz w:val="28"/>
                <w:szCs w:val="28"/>
                <w:lang w:val="en-US" w:eastAsia="zh-CN"/>
              </w:rPr>
            </w:pPr>
            <w:r>
              <w:rPr>
                <w:rFonts w:hint="default" w:ascii="仿宋" w:hAnsi="仿宋" w:eastAsia="仿宋" w:cs="仿宋"/>
                <w:color w:val="000000"/>
                <w:sz w:val="24"/>
                <w:szCs w:val="24"/>
              </w:rPr>
              <w:t>同时，由于量水槽内流速较大，喉道中水面的波动也很大，直接在槽中测定水位有困难。因此，在槽壁设置后观测井，安量测水尺。井底比槽槛要低20-25cm，测井与量水槽可用平置的金属管或混凝土管连接，管子的中心线应高出槽底3cm，上游水尺位于喉道上游距喉道首端(2/3)处，下游水尺位于喉道末端以上5cm的槽壁处。上下游水尺零点与槽底高要齐平，观测井要无漏水现象</w:t>
            </w:r>
            <w:r>
              <w:rPr>
                <w:rFonts w:hint="default" w:ascii="仿宋" w:hAnsi="仿宋" w:eastAsia="仿宋" w:cs="仿宋"/>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6</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行进渠道（根据实际流量选型）</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行进渠道为顺直平坦的矩形明渠，其长度应不小于槽宽的10倍；流态：行近渠道中水流的流态应满足规定，而且佛汝德数F小于或等于0.5-0.7。</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巴歌尔量水槽砌筑或安装在行近渠道末端，进口段底面为水平面，侧壁与底面垂直。</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1.行近渠道、静水井和槽体均不得漏水。</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2.下游渠道紧接出口段处，应作加固处理。</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color w:val="000000"/>
                <w:sz w:val="28"/>
                <w:szCs w:val="28"/>
                <w:lang w:val="en-US" w:eastAsia="zh-CN"/>
              </w:rPr>
            </w:pPr>
            <w:r>
              <w:rPr>
                <w:rFonts w:hint="default" w:ascii="仿宋" w:hAnsi="仿宋" w:eastAsia="仿宋" w:cs="仿宋"/>
                <w:color w:val="000000"/>
                <w:sz w:val="24"/>
                <w:szCs w:val="24"/>
              </w:rPr>
              <w:t>3.在最大流量通过时，槽体和渠道不受损坏</w:t>
            </w:r>
            <w:r>
              <w:rPr>
                <w:rFonts w:hint="default" w:ascii="仿宋" w:hAnsi="仿宋" w:eastAsia="仿宋" w:cs="仿宋"/>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7</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水质采集器</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rPr>
              <w:t>1.混合采样：可向在线监测提供无间断的混合水样</w:t>
            </w:r>
            <w:r>
              <w:rPr>
                <w:rFonts w:hint="default" w:ascii="仿宋" w:hAnsi="仿宋" w:eastAsia="仿宋" w:cs="仿宋"/>
                <w:color w:val="000000"/>
                <w:sz w:val="24"/>
                <w:szCs w:val="24"/>
                <w:lang w:eastAsia="zh-CN"/>
              </w:rPr>
              <w:t>。</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2.数字控温：可实现超标留样，同步留样，直接留样、串口控制留样，具有压缩机制冷装置和均热装置，高精度数字控温。</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3.数据储存：具有留样记录，开关门记录，停电记录和报警记录。</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4.分瓶留样功能：仪器可实现1～24瓶分瓶留样，瓶数可自由设定。</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5.采样功能：可实现定时采样、时间等比、流量等比、外控采样、串口控制等多种采样方式。</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7.留样功能：可实现超标留样、同步留样、直接留样、串口控制留样功能。</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8.供样功能：可向COD、氨氮、重金属等多台在线监测仪同时提供不间断混合水样。</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10.留样记录功能：可记录每次采样的留样瓶号、留样时间、留样量、COD值和NH3-N值，可记录最新1000条数据记录。</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12.对外接口：流量计模拟接口，RS485接口。</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13.断电保护功能：仪器在运行状态下断电并重新通电后，仪器能自动恢复原运行状态，断电后仪器参数不丢失。</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15.自动排空功能：每次采样完毕，系统可自动排空管内存水，以保证采样管路不产生沉积堵塞。</w:t>
            </w:r>
          </w:p>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17.防溢功能：用户可设置留样瓶数量，完成设定瓶数的留样后停止留样。</w:t>
            </w:r>
          </w:p>
          <w:p>
            <w:pPr>
              <w:keepNext w:val="0"/>
              <w:keepLines w:val="0"/>
              <w:pageBreakBefore w:val="0"/>
              <w:kinsoku/>
              <w:wordWrap/>
              <w:overflowPunct/>
              <w:topLinePunct w:val="0"/>
              <w:bidi w:val="0"/>
              <w:adjustRightInd/>
              <w:snapToGrid/>
              <w:spacing w:line="480" w:lineRule="exact"/>
              <w:jc w:val="both"/>
              <w:textAlignment w:val="auto"/>
              <w:rPr>
                <w:rFonts w:hint="default" w:ascii="Times New Roman" w:hAnsi="Times New Roman" w:eastAsia="楷体" w:cs="Times New Roman"/>
                <w:color w:val="000000"/>
                <w:sz w:val="28"/>
                <w:szCs w:val="28"/>
                <w:lang w:eastAsia="zh-CN"/>
              </w:rPr>
            </w:pPr>
            <w:r>
              <w:rPr>
                <w:rFonts w:hint="default" w:ascii="仿宋" w:hAnsi="仿宋" w:eastAsia="仿宋" w:cs="仿宋"/>
                <w:color w:val="000000"/>
                <w:sz w:val="24"/>
                <w:szCs w:val="24"/>
              </w:rPr>
              <w:t>18.水样冷藏功能：采用高效制冷装置，可使留存的水样保存在0℃～4℃的环境</w:t>
            </w:r>
            <w:r>
              <w:rPr>
                <w:rFonts w:hint="default" w:ascii="仿宋" w:hAnsi="仿宋" w:eastAsia="仿宋" w:cs="仿宋"/>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Times New Roman" w:hAnsi="Times New Roman" w:eastAsia="楷体" w:cs="Times New Roman"/>
                <w:sz w:val="28"/>
                <w:szCs w:val="28"/>
                <w:vertAlign w:val="baseline"/>
                <w:lang w:val="en-US" w:eastAsia="zh-CN"/>
              </w:rPr>
            </w:pPr>
            <w:r>
              <w:rPr>
                <w:rFonts w:hint="default" w:ascii="Times New Roman" w:hAnsi="Times New Roman" w:eastAsia="楷体" w:cs="Times New Roman"/>
                <w:color w:val="000000"/>
                <w:sz w:val="28"/>
                <w:szCs w:val="28"/>
                <w:lang w:val="en-US" w:eastAsia="zh-CN"/>
              </w:rPr>
              <w:t>8</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仪表集成柜</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rPr>
              <w:t>非标定制，对小表进行集成安装</w:t>
            </w:r>
            <w:r>
              <w:rPr>
                <w:rFonts w:hint="default" w:ascii="仿宋" w:hAnsi="仿宋" w:eastAsia="仿宋" w:cs="仿宋"/>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85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Times New Roman" w:hAnsi="Times New Roman" w:eastAsia="楷体" w:cs="Times New Roman"/>
                <w:sz w:val="28"/>
                <w:szCs w:val="28"/>
                <w:vertAlign w:val="baseline"/>
                <w:lang w:val="en-US" w:eastAsia="zh-CN"/>
              </w:rPr>
            </w:pPr>
            <w:r>
              <w:rPr>
                <w:rFonts w:hint="default" w:ascii="Times New Roman" w:hAnsi="Times New Roman" w:eastAsia="楷体" w:cs="Times New Roman"/>
                <w:color w:val="000000"/>
                <w:sz w:val="28"/>
                <w:szCs w:val="28"/>
                <w:lang w:val="en-US" w:eastAsia="zh-CN"/>
              </w:rPr>
              <w:t>9</w:t>
            </w:r>
          </w:p>
        </w:tc>
        <w:tc>
          <w:tcPr>
            <w:tcW w:w="1565" w:type="dxa"/>
            <w:vAlign w:val="center"/>
          </w:tcPr>
          <w:p>
            <w:pPr>
              <w:keepNext w:val="0"/>
              <w:keepLines w:val="0"/>
              <w:pageBreakBefore w:val="0"/>
              <w:kinsoku/>
              <w:wordWrap/>
              <w:overflowPunct/>
              <w:topLinePunct w:val="0"/>
              <w:bidi w:val="0"/>
              <w:adjustRightInd/>
              <w:snapToGrid/>
              <w:spacing w:line="480" w:lineRule="exact"/>
              <w:jc w:val="center"/>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工程安装</w:t>
            </w:r>
          </w:p>
        </w:tc>
        <w:tc>
          <w:tcPr>
            <w:tcW w:w="7310" w:type="dxa"/>
            <w:vAlign w:val="center"/>
          </w:tcPr>
          <w:p>
            <w:pPr>
              <w:keepNext w:val="0"/>
              <w:keepLines w:val="0"/>
              <w:pageBreakBefore w:val="0"/>
              <w:kinsoku/>
              <w:wordWrap/>
              <w:overflowPunct/>
              <w:topLinePunct w:val="0"/>
              <w:bidi w:val="0"/>
              <w:adjustRightInd/>
              <w:snapToGrid/>
              <w:spacing w:line="480" w:lineRule="exact"/>
              <w:jc w:val="both"/>
              <w:textAlignment w:val="auto"/>
              <w:rPr>
                <w:rFonts w:hint="default" w:ascii="仿宋" w:hAnsi="仿宋" w:eastAsia="仿宋" w:cs="仿宋"/>
                <w:color w:val="000000"/>
                <w:sz w:val="24"/>
                <w:szCs w:val="24"/>
              </w:rPr>
            </w:pPr>
            <w:r>
              <w:rPr>
                <w:rFonts w:hint="default" w:ascii="仿宋" w:hAnsi="仿宋" w:eastAsia="仿宋" w:cs="仿宋"/>
                <w:color w:val="000000"/>
                <w:sz w:val="24"/>
                <w:szCs w:val="24"/>
              </w:rPr>
              <w:t>需要对现场进行开挖回填，布设管路等，对排水管网进行处理，保证污水正常计量及外排。</w:t>
            </w:r>
          </w:p>
        </w:tc>
      </w:tr>
    </w:tbl>
    <w:p>
      <w:pPr>
        <w:keepNext w:val="0"/>
        <w:keepLines w:val="0"/>
        <w:pageBreakBefore w:val="0"/>
        <w:widowControl/>
        <w:kinsoku/>
        <w:wordWrap/>
        <w:overflowPunct/>
        <w:topLinePunct w:val="0"/>
        <w:autoSpaceDE w:val="0"/>
        <w:autoSpaceDN w:val="0"/>
        <w:bidi w:val="0"/>
        <w:adjustRightInd/>
        <w:snapToGrid/>
        <w:spacing w:before="0" w:after="0" w:line="480" w:lineRule="exact"/>
        <w:ind w:left="0" w:right="3951" w:firstLine="562" w:firstLineChars="200"/>
        <w:jc w:val="both"/>
        <w:textAlignment w:val="auto"/>
        <w:rPr>
          <w:rFonts w:hint="eastAsia" w:ascii="宋体" w:hAnsi="宋体" w:eastAsia="宋体" w:cs="宋体"/>
          <w:b/>
          <w:bCs w:val="0"/>
          <w:sz w:val="28"/>
          <w:szCs w:val="28"/>
          <w:lang w:val="en-US" w:eastAsia="zh-CN"/>
        </w:rPr>
      </w:pPr>
      <w:bookmarkStart w:id="0" w:name="_Toc21574"/>
      <w:r>
        <w:rPr>
          <w:rFonts w:hint="eastAsia" w:ascii="宋体" w:hAnsi="宋体" w:cs="宋体"/>
          <w:b/>
          <w:bCs w:val="0"/>
          <w:color w:val="000000"/>
          <w:sz w:val="28"/>
          <w:szCs w:val="28"/>
          <w:lang w:val="en-US" w:eastAsia="zh-CN"/>
        </w:rPr>
        <w:t>四、</w:t>
      </w:r>
      <w:r>
        <w:rPr>
          <w:rFonts w:hint="eastAsia" w:ascii="宋体" w:hAnsi="宋体" w:eastAsia="宋体" w:cs="宋体"/>
          <w:b/>
          <w:bCs w:val="0"/>
          <w:color w:val="000000"/>
          <w:sz w:val="28"/>
          <w:szCs w:val="28"/>
          <w:lang w:val="en-US" w:eastAsia="zh-CN"/>
        </w:rPr>
        <w:t>报价</w:t>
      </w:r>
      <w:bookmarkEnd w:id="0"/>
      <w:r>
        <w:rPr>
          <w:rFonts w:hint="eastAsia" w:ascii="宋体" w:hAnsi="宋体" w:eastAsia="宋体" w:cs="宋体"/>
          <w:b/>
          <w:bCs w:val="0"/>
          <w:color w:val="000000"/>
          <w:sz w:val="28"/>
          <w:szCs w:val="28"/>
          <w:lang w:val="en-US" w:eastAsia="zh-CN"/>
        </w:rPr>
        <w:t>清单</w:t>
      </w:r>
    </w:p>
    <w:tbl>
      <w:tblPr>
        <w:tblStyle w:val="6"/>
        <w:tblW w:w="9740" w:type="dxa"/>
        <w:tblInd w:w="15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1570"/>
        <w:gridCol w:w="1750"/>
        <w:gridCol w:w="1170"/>
        <w:gridCol w:w="1019"/>
        <w:gridCol w:w="1291"/>
        <w:gridCol w:w="1075"/>
        <w:gridCol w:w="12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0"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57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175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项目特征描述</w:t>
            </w:r>
          </w:p>
        </w:tc>
        <w:tc>
          <w:tcPr>
            <w:tcW w:w="117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计量单位</w:t>
            </w:r>
          </w:p>
        </w:tc>
        <w:tc>
          <w:tcPr>
            <w:tcW w:w="10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工程量</w:t>
            </w:r>
          </w:p>
        </w:tc>
        <w:tc>
          <w:tcPr>
            <w:tcW w:w="3581" w:type="dxa"/>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0"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5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75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1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91" w:type="dxa"/>
            <w:vMerge w:val="restart"/>
            <w:tcBorders>
              <w:top w:val="single" w:color="000000" w:sz="8" w:space="0"/>
              <w:left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综合单价</w:t>
            </w:r>
          </w:p>
        </w:tc>
        <w:tc>
          <w:tcPr>
            <w:tcW w:w="1075" w:type="dxa"/>
            <w:vMerge w:val="restart"/>
            <w:tcBorders>
              <w:top w:val="single" w:color="000000" w:sz="8" w:space="0"/>
              <w:left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合价</w:t>
            </w:r>
          </w:p>
        </w:tc>
        <w:tc>
          <w:tcPr>
            <w:tcW w:w="1215"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0"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5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75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17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91" w:type="dxa"/>
            <w:vMerge w:val="continue"/>
            <w:tcBorders>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75" w:type="dxa"/>
            <w:vMerge w:val="continue"/>
            <w:tcBorders>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15"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在线监测设备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hint="eastAsia" w:ascii="仿宋" w:hAnsi="仿宋" w:eastAsia="仿宋" w:cs="仿宋"/>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氨氮在线水质检测设备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1.类型:氨氮在线监测设备</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PH在线水质检测设备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1.类型:PH水质在线监测</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25"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超声波流量在线水质检测设备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1.类型:超声波明渠流量计</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余氯在线水质检测设备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1.类型:余氯在线监测</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COD在线水质检测设备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1.类型:COD在线监测设备</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水质采样器</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水质采样器</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数采仪</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数采仪</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系统集成柜</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系统集成柜，非标定制</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在线设备稳压器</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在线设备稳压器</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在线设备房循环装备</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在线设备房循环装备</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巴歇尔计量槽</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hint="eastAsia" w:ascii="仿宋" w:hAnsi="仿宋" w:eastAsia="仿宋" w:cs="仿宋"/>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不锈钢明渠</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hint="eastAsia" w:ascii="仿宋" w:hAnsi="仿宋" w:eastAsia="仿宋" w:cs="仿宋"/>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13</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在线监测1个月药剂</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1.COD、氨氮等在线监测药剂</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14</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在线监测比对验收</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1.验收时在线监测数据比对</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水泵控制箱</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eastAsia="zh-CN"/>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提升泵</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 m</w:t>
            </w:r>
            <w:r>
              <w:rPr>
                <w:rFonts w:hint="eastAsia" w:ascii="仿宋" w:hAnsi="仿宋" w:eastAsia="仿宋" w:cs="仿宋"/>
                <w:i w:val="0"/>
                <w:iCs w:val="0"/>
                <w:color w:val="000000"/>
                <w:sz w:val="24"/>
                <w:szCs w:val="24"/>
                <w:u w:val="none"/>
                <w:vertAlign w:val="superscript"/>
                <w:lang w:val="en-US" w:eastAsia="zh-CN"/>
              </w:rPr>
              <w:t>3</w:t>
            </w:r>
            <w:r>
              <w:rPr>
                <w:rFonts w:hint="eastAsia" w:ascii="仿宋" w:hAnsi="仿宋" w:eastAsia="仿宋" w:cs="仿宋"/>
                <w:i w:val="0"/>
                <w:iCs w:val="0"/>
                <w:color w:val="000000"/>
                <w:sz w:val="24"/>
                <w:szCs w:val="24"/>
                <w:u w:val="none"/>
                <w:lang w:val="en-US" w:eastAsia="zh-CN"/>
              </w:rPr>
              <w:t>/h</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取样泵</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真空自吸泵</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分部小计</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hint="eastAsia" w:ascii="仿宋" w:hAnsi="仿宋" w:eastAsia="仿宋" w:cs="仿宋"/>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土建部分</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hint="eastAsia" w:ascii="仿宋" w:hAnsi="仿宋" w:eastAsia="仿宋" w:cs="仿宋"/>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25"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16</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人工挖土</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1.三类土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2.挖深3.4m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3.放坡开挖</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m3</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17</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垫层</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1.垫层材料种类、配合比、厚度:100mm厚现扳混凝土</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m</w:t>
            </w:r>
            <w:r>
              <w:rPr>
                <w:rFonts w:hint="eastAsia" w:ascii="仿宋" w:hAnsi="仿宋" w:eastAsia="仿宋" w:cs="仿宋"/>
                <w:i w:val="0"/>
                <w:iCs w:val="0"/>
                <w:color w:val="000000"/>
                <w:kern w:val="0"/>
                <w:sz w:val="24"/>
                <w:szCs w:val="24"/>
                <w:u w:val="none"/>
                <w:vertAlign w:val="superscript"/>
                <w:lang w:val="en-US" w:eastAsia="zh-CN" w:bidi="ar"/>
              </w:rPr>
              <w:t>3</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余方弃置</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余土弃置</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w:t>
            </w:r>
            <w:r>
              <w:rPr>
                <w:rFonts w:hint="eastAsia" w:ascii="仿宋" w:hAnsi="仿宋" w:eastAsia="仿宋" w:cs="仿宋"/>
                <w:i w:val="0"/>
                <w:iCs w:val="0"/>
                <w:color w:val="000000"/>
                <w:kern w:val="0"/>
                <w:sz w:val="24"/>
                <w:szCs w:val="24"/>
                <w:u w:val="none"/>
                <w:vertAlign w:val="superscript"/>
                <w:lang w:val="en-US" w:eastAsia="zh-CN" w:bidi="ar"/>
              </w:rPr>
              <w:t>3</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砌筑井</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污水井，井口700</w:t>
            </w: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座</w:t>
            </w: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 w:hRule="atLeast"/>
        </w:trPr>
        <w:tc>
          <w:tcPr>
            <w:tcW w:w="65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5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分部小计</w:t>
            </w:r>
          </w:p>
        </w:tc>
        <w:tc>
          <w:tcPr>
            <w:tcW w:w="17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both"/>
              <w:rPr>
                <w:rFonts w:hint="eastAsia" w:ascii="仿宋" w:hAnsi="仿宋" w:eastAsia="仿宋" w:cs="仿宋"/>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0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 w:hRule="atLeast"/>
        </w:trPr>
        <w:tc>
          <w:tcPr>
            <w:tcW w:w="7450"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合计</w:t>
            </w:r>
          </w:p>
        </w:tc>
        <w:tc>
          <w:tcPr>
            <w:tcW w:w="229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仿宋" w:hAnsi="仿宋" w:eastAsia="仿宋" w:cs="仿宋"/>
                <w:i w:val="0"/>
                <w:iCs w:val="0"/>
                <w:color w:val="000000"/>
                <w:sz w:val="24"/>
                <w:szCs w:val="24"/>
                <w:u w:val="none"/>
              </w:rPr>
            </w:pPr>
          </w:p>
        </w:tc>
      </w:tr>
    </w:tbl>
    <w:p>
      <w:pPr>
        <w:keepNext w:val="0"/>
        <w:keepLines w:val="0"/>
        <w:pageBreakBefore w:val="0"/>
        <w:widowControl/>
        <w:kinsoku/>
        <w:wordWrap/>
        <w:overflowPunct/>
        <w:topLinePunct w:val="0"/>
        <w:autoSpaceDE w:val="0"/>
        <w:autoSpaceDN w:val="0"/>
        <w:bidi w:val="0"/>
        <w:adjustRightInd/>
        <w:snapToGrid/>
        <w:spacing w:before="0" w:after="0" w:line="480" w:lineRule="exact"/>
        <w:ind w:left="0" w:right="3951" w:firstLine="0"/>
        <w:jc w:val="both"/>
        <w:textAlignment w:val="auto"/>
        <w:rPr>
          <w:rFonts w:hint="default" w:ascii="黑体" w:hAnsi="黑体" w:eastAsia="黑体" w:cs="黑体"/>
          <w:b/>
          <w:color w:val="000000"/>
          <w:sz w:val="36"/>
          <w:szCs w:val="36"/>
          <w:lang w:val="en-US" w:eastAsia="zh-CN"/>
        </w:rPr>
      </w:pPr>
    </w:p>
    <w:p>
      <w:pPr>
        <w:keepNext w:val="0"/>
        <w:keepLines w:val="0"/>
        <w:pageBreakBefore w:val="0"/>
        <w:widowControl/>
        <w:kinsoku/>
        <w:wordWrap/>
        <w:overflowPunct/>
        <w:topLinePunct w:val="0"/>
        <w:autoSpaceDE w:val="0"/>
        <w:autoSpaceDN w:val="0"/>
        <w:bidi w:val="0"/>
        <w:adjustRightInd/>
        <w:snapToGrid/>
        <w:spacing w:before="0" w:after="0" w:line="480" w:lineRule="exact"/>
        <w:ind w:left="0" w:right="3951" w:firstLine="0"/>
        <w:jc w:val="both"/>
        <w:textAlignment w:val="auto"/>
        <w:rPr>
          <w:rFonts w:hint="eastAsia" w:ascii="黑体" w:hAnsi="黑体" w:eastAsia="黑体" w:cs="黑体"/>
          <w:b/>
          <w:color w:val="000000"/>
          <w:sz w:val="36"/>
          <w:szCs w:val="36"/>
          <w:lang w:val="en-US" w:eastAsia="zh-CN"/>
        </w:rPr>
      </w:pPr>
    </w:p>
    <w:p>
      <w:pPr>
        <w:pStyle w:val="2"/>
        <w:rPr>
          <w:rFonts w:hint="eastAsia" w:ascii="黑体" w:hAnsi="黑体" w:eastAsia="黑体" w:cs="黑体"/>
          <w:b/>
          <w:color w:val="000000"/>
          <w:sz w:val="36"/>
          <w:szCs w:val="36"/>
          <w:lang w:val="en-US" w:eastAsia="zh-CN"/>
        </w:rPr>
      </w:pPr>
    </w:p>
    <w:p>
      <w:pPr>
        <w:pStyle w:val="2"/>
        <w:rPr>
          <w:rFonts w:hint="eastAsia" w:ascii="黑体" w:hAnsi="黑体" w:eastAsia="黑体" w:cs="黑体"/>
          <w:b/>
          <w:color w:val="000000"/>
          <w:sz w:val="36"/>
          <w:szCs w:val="36"/>
          <w:lang w:val="en-US" w:eastAsia="zh-CN"/>
        </w:rPr>
      </w:pPr>
    </w:p>
    <w:p>
      <w:pPr>
        <w:keepNext w:val="0"/>
        <w:keepLines w:val="0"/>
        <w:pageBreakBefore w:val="0"/>
        <w:widowControl/>
        <w:kinsoku/>
        <w:wordWrap/>
        <w:overflowPunct/>
        <w:topLinePunct w:val="0"/>
        <w:autoSpaceDE w:val="0"/>
        <w:autoSpaceDN w:val="0"/>
        <w:bidi w:val="0"/>
        <w:adjustRightInd/>
        <w:snapToGrid/>
        <w:spacing w:before="0" w:after="0" w:line="480" w:lineRule="exact"/>
        <w:ind w:left="0" w:right="3951" w:firstLine="0"/>
        <w:jc w:val="both"/>
        <w:textAlignment w:val="auto"/>
        <w:rPr>
          <w:rFonts w:hint="default" w:ascii="黑体" w:hAnsi="黑体" w:eastAsia="黑体" w:cs="黑体"/>
          <w:b/>
          <w:color w:val="000000"/>
          <w:sz w:val="36"/>
          <w:szCs w:val="36"/>
          <w:lang w:val="en-US" w:eastAsia="zh-CN"/>
        </w:rPr>
      </w:pPr>
      <w:bookmarkStart w:id="1" w:name="_GoBack"/>
      <w:bookmarkEnd w:id="1"/>
    </w:p>
    <w:sectPr>
      <w:pgSz w:w="11906" w:h="16838"/>
      <w:pgMar w:top="706" w:right="1280" w:bottom="1440" w:left="1300" w:header="720" w:footer="720" w:gutter="0"/>
      <w:cols w:equalWidth="0" w:num="1">
        <w:col w:w="932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5ZGYwN2U3NjYxNWU4MWI1MTlhYmE0YTA0YWNkYjQifQ=="/>
  </w:docVars>
  <w:rsids>
    <w:rsidRoot w:val="159C6981"/>
    <w:rsid w:val="004874D5"/>
    <w:rsid w:val="006A6F8C"/>
    <w:rsid w:val="02A1111E"/>
    <w:rsid w:val="159C6981"/>
    <w:rsid w:val="167748C5"/>
    <w:rsid w:val="1CBD0666"/>
    <w:rsid w:val="216B711F"/>
    <w:rsid w:val="22622119"/>
    <w:rsid w:val="24C639D0"/>
    <w:rsid w:val="26E63E5F"/>
    <w:rsid w:val="34783045"/>
    <w:rsid w:val="3A952316"/>
    <w:rsid w:val="5DD43000"/>
    <w:rsid w:val="6CAE6A95"/>
    <w:rsid w:val="706B600D"/>
    <w:rsid w:val="775643C4"/>
    <w:rsid w:val="7BA75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0" w:firstLineChars="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line="360" w:lineRule="auto"/>
      <w:ind w:firstLine="200" w:firstLineChars="200"/>
    </w:pPr>
    <w:rPr>
      <w:rFonts w:hAnsi="宋体"/>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Hyperlink"/>
    <w:basedOn w:val="8"/>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5657</Words>
  <Characters>6559</Characters>
  <Lines>0</Lines>
  <Paragraphs>0</Paragraphs>
  <TotalTime>6</TotalTime>
  <ScaleCrop>false</ScaleCrop>
  <LinksUpToDate>false</LinksUpToDate>
  <CharactersWithSpaces>6599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2026-08-11T08:08:00Z</dcterms:created>
  <dc:creator>Administrator</dc:creator>
  <cp:lastModifiedBy>Administrator</cp:lastModifiedBy>
  <cp:lastPrinted>2026-10-24T01:58:00Z</cp:lastPrinted>
  <dcterms:modified xsi:type="dcterms:W3CDTF">2026-10-24T02:06:58Z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TemplateDocerSaveRecord">
    <vt:lpwstr>eyJoZGlkIjoiYjJjOTQxYzhjODMyMDAzZmE0MDJkMWFkNmJlNDkwYTUiLCJ1c2VySWQiOiIxMjc5MzMwNDA5In0=</vt:lpwstr>
  </property>
  <property fmtid="{D5CDD505-2E9C-101B-9397-08002B2CF9AE}" pid="4" name="ICV">
    <vt:lpwstr>18E23474FA31412EB7C148C95249E275_12</vt:lpwstr>
  </property>
</Properties>
</file>