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精子分析仪采购需求</w:t>
      </w:r>
    </w:p>
    <w:p>
      <w:pPr>
        <w:jc w:val="center"/>
        <w:rPr>
          <w:rFonts w:hint="eastAsia" w:ascii="宋体" w:hAnsi="宋体" w:eastAsia="宋体" w:cs="宋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</w:rPr>
        <w:t>基本要求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1.仪器</w:t>
      </w:r>
      <w:r>
        <w:rPr>
          <w:rFonts w:hint="eastAsia" w:ascii="仿宋" w:hAnsi="仿宋" w:eastAsia="仿宋" w:cs="仿宋"/>
          <w:bCs/>
          <w:sz w:val="24"/>
          <w:szCs w:val="24"/>
        </w:rPr>
        <w:t>由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医学图文分析软件、</w:t>
      </w:r>
      <w:r>
        <w:rPr>
          <w:rFonts w:hint="eastAsia" w:ascii="仿宋" w:hAnsi="仿宋" w:eastAsia="仿宋" w:cs="仿宋"/>
          <w:bCs/>
          <w:sz w:val="24"/>
          <w:szCs w:val="24"/>
          <w:shd w:val="clear" w:color="auto" w:fill="FFFFFF"/>
          <w:lang w:val="en-US" w:eastAsia="zh-CN"/>
        </w:rPr>
        <w:t>相差生物</w:t>
      </w:r>
      <w:r>
        <w:rPr>
          <w:rFonts w:hint="eastAsia" w:ascii="仿宋" w:hAnsi="仿宋" w:eastAsia="仿宋" w:cs="仿宋"/>
          <w:bCs/>
          <w:sz w:val="24"/>
          <w:szCs w:val="24"/>
        </w:rPr>
        <w:t>显微镜、</w:t>
      </w:r>
      <w:bookmarkStart w:id="4" w:name="_GoBack"/>
      <w:bookmarkEnd w:id="4"/>
      <w:r>
        <w:rPr>
          <w:rFonts w:hint="eastAsia" w:ascii="仿宋" w:hAnsi="仿宋" w:eastAsia="仿宋" w:cs="仿宋"/>
          <w:bCs/>
          <w:sz w:val="24"/>
          <w:szCs w:val="24"/>
        </w:rPr>
        <w:t>数码摄像系统、C型摄像接口及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分析终端</w:t>
      </w:r>
      <w:r>
        <w:rPr>
          <w:rFonts w:hint="eastAsia" w:ascii="仿宋" w:hAnsi="仿宋" w:eastAsia="仿宋" w:cs="仿宋"/>
          <w:bCs/>
          <w:sz w:val="24"/>
          <w:szCs w:val="24"/>
        </w:rPr>
        <w:t>、打印机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等</w:t>
      </w:r>
      <w:r>
        <w:rPr>
          <w:rFonts w:hint="eastAsia" w:ascii="仿宋" w:hAnsi="仿宋" w:eastAsia="仿宋" w:cs="仿宋"/>
          <w:bCs/>
          <w:sz w:val="24"/>
          <w:szCs w:val="24"/>
        </w:rPr>
        <w:t>组成，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用于</w:t>
      </w:r>
      <w:r>
        <w:rPr>
          <w:rFonts w:hint="eastAsia" w:ascii="仿宋" w:hAnsi="仿宋" w:eastAsia="仿宋" w:cs="仿宋"/>
          <w:bCs/>
          <w:sz w:val="24"/>
          <w:szCs w:val="24"/>
        </w:rPr>
        <w:t>检测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精液常规、精子</w:t>
      </w:r>
      <w:r>
        <w:rPr>
          <w:rFonts w:hint="eastAsia" w:ascii="仿宋" w:hAnsi="仿宋" w:eastAsia="仿宋" w:cs="仿宋"/>
          <w:bCs/>
          <w:sz w:val="24"/>
          <w:szCs w:val="24"/>
        </w:rPr>
        <w:t>形态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精子DNA完整性</w:t>
      </w:r>
      <w:r>
        <w:rPr>
          <w:rFonts w:hint="eastAsia" w:ascii="仿宋" w:hAnsi="仿宋" w:eastAsia="仿宋" w:cs="仿宋"/>
          <w:bCs/>
          <w:sz w:val="24"/>
          <w:szCs w:val="24"/>
        </w:rPr>
        <w:t>等显微图像相关应用，并能出具专业图文报告；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▲2.仪器搭载的医学图文分析</w:t>
      </w:r>
      <w:r>
        <w:rPr>
          <w:rFonts w:hint="eastAsia" w:ascii="仿宋" w:hAnsi="仿宋" w:eastAsia="仿宋" w:cs="仿宋"/>
          <w:bCs/>
          <w:color w:val="000000"/>
          <w:kern w:val="0"/>
          <w:sz w:val="24"/>
          <w:szCs w:val="24"/>
        </w:rPr>
        <w:t>软件</w:t>
      </w:r>
      <w:r>
        <w:rPr>
          <w:rFonts w:hint="eastAsia" w:ascii="仿宋" w:hAnsi="仿宋" w:eastAsia="仿宋" w:cs="仿宋"/>
          <w:bCs/>
          <w:color w:val="000000"/>
          <w:kern w:val="0"/>
          <w:sz w:val="24"/>
          <w:szCs w:val="24"/>
          <w:lang w:eastAsia="zh-CN"/>
        </w:rPr>
        <w:t>应获得医疗器械注册证，且</w:t>
      </w:r>
      <w:r>
        <w:rPr>
          <w:rFonts w:hint="eastAsia" w:ascii="仿宋" w:hAnsi="仿宋" w:eastAsia="仿宋" w:cs="仿宋"/>
          <w:bCs/>
          <w:sz w:val="24"/>
          <w:szCs w:val="24"/>
        </w:rPr>
        <w:t>具备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经注册核准的精子形态学辅助识别、精子DNA损伤分析等功能。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</w:rPr>
        <w:t>二</w:t>
      </w:r>
      <w:r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/>
          <w:sz w:val="24"/>
          <w:szCs w:val="24"/>
        </w:rPr>
        <w:t>精子动力学分析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3.</w:t>
      </w:r>
      <w:r>
        <w:rPr>
          <w:rFonts w:hint="eastAsia" w:ascii="仿宋" w:hAnsi="仿宋" w:eastAsia="仿宋" w:cs="仿宋"/>
          <w:bCs/>
          <w:sz w:val="24"/>
          <w:szCs w:val="24"/>
        </w:rPr>
        <w:t>精子动力学分析项目在WHO标准化基础上遵循国际行业内计算机CASA标准，活力级别分为PR、NP、IM三个级别，可分析</w:t>
      </w:r>
      <w:r>
        <w:rPr>
          <w:rFonts w:hint="eastAsia" w:ascii="宋体" w:hAnsi="宋体" w:eastAsia="宋体" w:cs="宋体"/>
          <w:bCs/>
          <w:sz w:val="24"/>
          <w:szCs w:val="24"/>
        </w:rPr>
        <w:t>≧</w:t>
      </w:r>
      <w:r>
        <w:rPr>
          <w:rFonts w:hint="eastAsia" w:ascii="仿宋" w:hAnsi="仿宋" w:eastAsia="仿宋" w:cs="仿宋"/>
          <w:bCs/>
          <w:sz w:val="24"/>
          <w:szCs w:val="24"/>
        </w:rPr>
        <w:t>40项活力相关参数；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4.</w:t>
      </w:r>
      <w:r>
        <w:rPr>
          <w:rFonts w:hint="eastAsia" w:ascii="仿宋" w:hAnsi="仿宋" w:eastAsia="仿宋" w:cs="仿宋"/>
          <w:bCs/>
          <w:sz w:val="24"/>
          <w:szCs w:val="24"/>
        </w:rPr>
        <w:t>分析系统可在平场与</w:t>
      </w:r>
      <w:r>
        <w:rPr>
          <w:rFonts w:hint="eastAsia" w:ascii="仿宋" w:hAnsi="仿宋" w:eastAsia="仿宋" w:cs="仿宋"/>
          <w:bCs/>
          <w:sz w:val="24"/>
          <w:szCs w:val="24"/>
          <w:shd w:val="clear" w:color="auto" w:fill="FFFFFF"/>
        </w:rPr>
        <w:t>相衬模式下自由切换，</w:t>
      </w:r>
      <w:r>
        <w:rPr>
          <w:rFonts w:hint="eastAsia" w:ascii="仿宋" w:hAnsi="仿宋" w:eastAsia="仿宋" w:cs="仿宋"/>
          <w:bCs/>
          <w:sz w:val="24"/>
          <w:szCs w:val="24"/>
        </w:rPr>
        <w:t>精子形态学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精子DNA完整性检测</w:t>
      </w:r>
      <w:r>
        <w:rPr>
          <w:rFonts w:hint="eastAsia" w:ascii="仿宋" w:hAnsi="仿宋" w:eastAsia="仿宋" w:cs="仿宋"/>
          <w:bCs/>
          <w:sz w:val="24"/>
          <w:szCs w:val="24"/>
        </w:rPr>
        <w:t>采用平场原理分析，精子动力学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检测</w:t>
      </w:r>
      <w:r>
        <w:rPr>
          <w:rFonts w:hint="eastAsia" w:ascii="仿宋" w:hAnsi="仿宋" w:eastAsia="仿宋" w:cs="仿宋"/>
          <w:bCs/>
          <w:sz w:val="24"/>
          <w:szCs w:val="24"/>
        </w:rPr>
        <w:t>采用</w:t>
      </w:r>
      <w:r>
        <w:rPr>
          <w:rFonts w:hint="eastAsia" w:ascii="仿宋" w:hAnsi="仿宋" w:eastAsia="仿宋" w:cs="仿宋"/>
          <w:bCs/>
          <w:sz w:val="24"/>
          <w:szCs w:val="24"/>
          <w:shd w:val="clear" w:color="auto" w:fill="FFFFFF"/>
        </w:rPr>
        <w:t>相衬</w:t>
      </w:r>
      <w:r>
        <w:rPr>
          <w:rFonts w:hint="eastAsia" w:ascii="仿宋" w:hAnsi="仿宋" w:eastAsia="仿宋" w:cs="仿宋"/>
          <w:bCs/>
          <w:sz w:val="24"/>
          <w:szCs w:val="24"/>
        </w:rPr>
        <w:t>原理分析；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▲5.精子个数计算漏检率≤5%；（以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《</w:t>
      </w:r>
      <w:r>
        <w:rPr>
          <w:rFonts w:hint="eastAsia" w:ascii="仿宋" w:hAnsi="仿宋" w:eastAsia="仿宋" w:cs="仿宋"/>
          <w:bCs/>
          <w:sz w:val="24"/>
          <w:szCs w:val="24"/>
        </w:rPr>
        <w:t>医疗器械注册证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》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附件描述为准）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三．精子形态学分析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6.</w:t>
      </w:r>
      <w:r>
        <w:rPr>
          <w:rFonts w:hint="eastAsia" w:ascii="仿宋" w:hAnsi="仿宋" w:eastAsia="仿宋" w:cs="仿宋"/>
          <w:sz w:val="24"/>
          <w:szCs w:val="24"/>
        </w:rPr>
        <w:t>产品可在100x物镜下自动将染色后的精子分割为顶体、头部、中段，并能显示每个精子的相关参数，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从而分辨出正常及异常精子，</w:t>
      </w:r>
      <w:r>
        <w:rPr>
          <w:rFonts w:hint="eastAsia" w:ascii="仿宋" w:hAnsi="仿宋" w:eastAsia="仿宋" w:cs="仿宋"/>
          <w:sz w:val="24"/>
          <w:szCs w:val="24"/>
        </w:rPr>
        <w:t>无需人为参与；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7.</w:t>
      </w:r>
      <w:r>
        <w:rPr>
          <w:rFonts w:hint="eastAsia" w:ascii="仿宋" w:hAnsi="仿宋" w:eastAsia="仿宋" w:cs="仿宋"/>
          <w:sz w:val="24"/>
          <w:szCs w:val="24"/>
        </w:rPr>
        <w:t>支持改良巴氏染色、shorr染色、Diff-quik等染色后的精子形态分析，并可根据实验室具体的染色结果进行识别效果优化；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bookmarkStart w:id="0" w:name="OLE_LINK1"/>
      <w:bookmarkStart w:id="1" w:name="OLE_LINK119"/>
      <w:bookmarkStart w:id="2" w:name="OLE_LINK118"/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▲</w:t>
      </w:r>
      <w:bookmarkEnd w:id="0"/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8.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图像长度测量准确率≥95％，区域面积计算准确率≥90％；</w:t>
      </w:r>
      <w:bookmarkEnd w:id="1"/>
      <w:bookmarkEnd w:id="2"/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（以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《</w:t>
      </w:r>
      <w:r>
        <w:rPr>
          <w:rFonts w:hint="eastAsia" w:ascii="仿宋" w:hAnsi="仿宋" w:eastAsia="仿宋" w:cs="仿宋"/>
          <w:bCs/>
          <w:sz w:val="24"/>
          <w:szCs w:val="24"/>
        </w:rPr>
        <w:t>医疗器械注册证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》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附件描述为准）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</w:rPr>
        <w:t>精子DNA碎片分析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9.</w:t>
      </w:r>
      <w:r>
        <w:rPr>
          <w:rFonts w:hint="eastAsia" w:ascii="仿宋" w:hAnsi="仿宋" w:eastAsia="仿宋" w:cs="仿宋"/>
          <w:sz w:val="24"/>
          <w:szCs w:val="24"/>
        </w:rPr>
        <w:t>自动捕捉分析精子DNA碎片，自动分析精子及其晕轮相关参数，并判断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正常及异常精子，</w:t>
      </w:r>
      <w:r>
        <w:rPr>
          <w:rFonts w:hint="eastAsia" w:ascii="仿宋" w:hAnsi="仿宋" w:eastAsia="仿宋" w:cs="仿宋"/>
          <w:sz w:val="24"/>
          <w:szCs w:val="24"/>
        </w:rPr>
        <w:t>无需人为参与；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10.</w:t>
      </w:r>
      <w:r>
        <w:rPr>
          <w:rFonts w:hint="eastAsia" w:ascii="仿宋" w:hAnsi="仿宋" w:eastAsia="仿宋" w:cs="仿宋"/>
          <w:sz w:val="24"/>
          <w:szCs w:val="24"/>
        </w:rPr>
        <w:t>产品能自动识别计数精子数、存在DNA碎片精子、无DNA碎片精子，其识别结果符合率不小于80%；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11.</w:t>
      </w:r>
      <w:r>
        <w:rPr>
          <w:rFonts w:hint="eastAsia" w:ascii="仿宋" w:hAnsi="仿宋" w:eastAsia="仿宋" w:cs="仿宋"/>
          <w:sz w:val="24"/>
          <w:szCs w:val="24"/>
        </w:rPr>
        <w:t>系统能对精子DNA损伤分析图像进行导入导出和分析；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</w:rPr>
        <w:t>精液分析质控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00" w:lineRule="exact"/>
        <w:ind w:left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▲12.</w:t>
      </w:r>
      <w:r>
        <w:rPr>
          <w:rFonts w:hint="eastAsia" w:ascii="仿宋" w:hAnsi="仿宋" w:eastAsia="仿宋" w:cs="仿宋"/>
          <w:sz w:val="24"/>
          <w:szCs w:val="24"/>
        </w:rPr>
        <w:t>可进行95%可信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质控区间双样本对比分析；（以产品注册时提交的医疗器械检验报告表述为准）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13.</w:t>
      </w:r>
      <w:r>
        <w:rPr>
          <w:rFonts w:hint="eastAsia" w:ascii="仿宋" w:hAnsi="仿宋" w:eastAsia="仿宋" w:cs="仿宋"/>
          <w:sz w:val="24"/>
          <w:szCs w:val="24"/>
        </w:rPr>
        <w:t>支持精子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浓度</w:t>
      </w:r>
      <w:r>
        <w:rPr>
          <w:rFonts w:hint="eastAsia" w:ascii="仿宋" w:hAnsi="仿宋" w:eastAsia="仿宋" w:cs="仿宋"/>
          <w:sz w:val="24"/>
          <w:szCs w:val="24"/>
        </w:rPr>
        <w:t>检测质控珠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及</w:t>
      </w:r>
      <w:r>
        <w:rPr>
          <w:rFonts w:hint="eastAsia" w:ascii="仿宋" w:hAnsi="仿宋" w:eastAsia="仿宋" w:cs="仿宋"/>
          <w:sz w:val="24"/>
          <w:szCs w:val="24"/>
        </w:rPr>
        <w:t>动力学活力质控视频录制，可对第三方录制的质控视频载入并进行分析检测；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00" w:lineRule="exact"/>
        <w:ind w:left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▲14.</w:t>
      </w:r>
      <w:r>
        <w:rPr>
          <w:rFonts w:hint="eastAsia" w:ascii="仿宋" w:hAnsi="仿宋" w:eastAsia="仿宋" w:cs="仿宋"/>
          <w:sz w:val="24"/>
          <w:szCs w:val="24"/>
        </w:rPr>
        <w:t>自动生成XBar图、SBar图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人员差异质控图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（以产品注册时提交的医疗器械检验报告表述为准）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bookmarkStart w:id="3" w:name="OLE_LINK2"/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．硬件配置</w:t>
      </w:r>
    </w:p>
    <w:bookmarkEnd w:id="3"/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val="en-US" w:eastAsia="zh-CN"/>
        </w:rPr>
        <w:t>15.分析终端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</w:rPr>
        <w:t>1套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val="en-US" w:eastAsia="zh-CN"/>
        </w:rPr>
        <w:t>16.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</w:rPr>
        <w:t>相差生物显微镜1台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val="en-US" w:eastAsia="zh-CN"/>
        </w:rPr>
        <w:t>17.高清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</w:rPr>
        <w:t>显微摄像机1台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val="en-US" w:eastAsia="zh-CN"/>
        </w:rPr>
        <w:t>18.数码彩色打印机；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val="en-US" w:eastAsia="zh-CN"/>
        </w:rPr>
        <w:t>19.一次性精子计数池；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仿宋" w:hAnsi="仿宋" w:eastAsia="黑体" w:cs="仿宋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七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．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其他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-210" w:leftChars="-100" w:firstLine="240" w:firstLineChars="100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20.遇设备故障等情况，可及时无条件提供备用机替换服务；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Cs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21.</w:t>
      </w:r>
      <w:r>
        <w:rPr>
          <w:rFonts w:hint="eastAsia" w:ascii="仿宋" w:hAnsi="仿宋" w:eastAsia="仿宋" w:cs="仿宋"/>
          <w:bCs/>
          <w:sz w:val="24"/>
          <w:szCs w:val="24"/>
        </w:rPr>
        <w:t>具有LIS导出功能，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应无条件与医院</w:t>
      </w:r>
      <w:r>
        <w:rPr>
          <w:rFonts w:hint="eastAsia" w:ascii="仿宋" w:hAnsi="仿宋" w:eastAsia="仿宋" w:cs="仿宋"/>
          <w:bCs/>
          <w:sz w:val="24"/>
          <w:szCs w:val="24"/>
        </w:rPr>
        <w:t>LIS联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接。</w:t>
      </w:r>
    </w:p>
    <w:p>
      <w:pPr>
        <w:jc w:val="center"/>
        <w:rPr>
          <w:rFonts w:hint="eastAsia" w:ascii="宋体" w:hAnsi="宋体" w:eastAsia="宋体" w:cs="宋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7EF1F"/>
    <w:multiLevelType w:val="singleLevel"/>
    <w:tmpl w:val="5927EF1F"/>
    <w:lvl w:ilvl="0" w:tentative="0">
      <w:start w:val="1"/>
      <w:numFmt w:val="chineseCounting"/>
      <w:suff w:val="nothing"/>
      <w:lvlText w:val="%1．"/>
      <w:lvlJc w:val="left"/>
    </w:lvl>
  </w:abstractNum>
  <w:abstractNum w:abstractNumId="1">
    <w:nsid w:val="5927F690"/>
    <w:multiLevelType w:val="singleLevel"/>
    <w:tmpl w:val="5927F690"/>
    <w:lvl w:ilvl="0" w:tentative="0">
      <w:start w:val="4"/>
      <w:numFmt w:val="chineseCounting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71579"/>
    <w:rsid w:val="24571579"/>
    <w:rsid w:val="747D1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3">
    <w:name w:val="Body Text"/>
    <w:basedOn w:val="1"/>
    <w:next w:val="1"/>
    <w:qFormat/>
    <w:uiPriority w:val="0"/>
    <w:pPr>
      <w:spacing w:line="360" w:lineRule="auto"/>
    </w:pPr>
    <w:rPr>
      <w:szCs w:val="20"/>
    </w:rPr>
  </w:style>
  <w:style w:type="paragraph" w:customStyle="1" w:styleId="6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2025-11-21T00:59:00Z</dcterms:created>
  <dc:creator>Administrator</dc:creator>
  <cp:lastModifiedBy>Administrator</cp:lastModifiedBy>
  <dcterms:modified xsi:type="dcterms:W3CDTF">2025-11-21T01:11:29Z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