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微生物鉴定仪指标要求：</w:t>
      </w:r>
    </w:p>
    <w:tbl>
      <w:tblPr>
        <w:tblStyle w:val="5"/>
        <w:tblpPr w:leftFromText="180" w:rightFromText="180" w:vertAnchor="text" w:horzAnchor="page" w:tblpX="1376" w:tblpY="236"/>
        <w:tblOverlap w:val="never"/>
        <w:tblW w:w="9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8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检测方法：鉴定：采用生化酶反应结合显色法；药敏：试验采用比浊法。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FF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trike w:val="0"/>
                <w:dstrike w:val="0"/>
                <w:color w:val="auto"/>
                <w:kern w:val="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细菌鉴定种类菌种库：提供临床常见11大类，超过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600</w:t>
            </w:r>
            <w:r>
              <w:rPr>
                <w:rFonts w:hint="eastAsia" w:asciiTheme="majorEastAsia" w:hAnsiTheme="majorEastAsia" w:eastAsiaTheme="majorEastAsia" w:cstheme="majorEastAsia"/>
                <w:strike w:val="0"/>
                <w:dstrike w:val="0"/>
                <w:color w:val="auto"/>
                <w:kern w:val="0"/>
                <w:sz w:val="20"/>
                <w:szCs w:val="20"/>
                <w:highlight w:val="none"/>
              </w:rPr>
              <w:t>种病原菌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，包含肠杆菌、非发酵菌、链球菌（肠球菌）、葡萄球菌（微球菌）、真菌、棒状杆菌、奈瑟氏球菌/嗜血杆菌等。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药敏种类：提供临床常见≥200种抗生素，根据CLSI标准、EUCAST标准及相关指导性文件分析MIC，能够报告MIC和S、I、R敏感度。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附加试剂：无须额外购买附加辅助试剂。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仪器功能配置：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主机一体化结构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，方便故障排除，可有效解决一体机故障难以排查的缺陷。可储存数据量更多。（投标中提供产品说明书和产品外观图片作为佐证材料）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统计分析：细菌鉴定和药敏数据可与世界卫生组织药敏分析系统WHONET共享数据。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7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管理系统：具备院感系统，有院内微生物感染管理功能及STD性病分析管理系统，实现标本信息录入、查询和统计。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高级专家管理系统：1.可提示超过20种以上耐药机制检测，如MRSA、MRCNS、ESBL、β-LAC、ICR、HLAR、CRE、CRKPN、CRAB、CRPAE、VRE等。2.专家注释可提示药敏报告中不合理现象以及检验者如何正确操作、临床医师用药时要注意的问题等。3.抗生素优化组合，根据CLSI制定的临床用药标准，将抗菌药物分A、B、C、U、O、Inv组报告药敏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9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上传数据功能：鉴定药敏数据可直接导出dbf文件格式，实现一键上传WHONET。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网络功能：仪器可与医院LIS系统和/或HIS系统联网。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鉴定药敏板卡：1.配套测试卡种类：肠杆菌、非发酵菌、链球菌（肠球菌）、葡萄球菌（微球菌）、真菌、棒状杆菌、鉴定药敏测试卡，并可根据临床需求定制科研用的药敏卡。2.配套测试卡孔位：具备120孔鉴定药敏复合测试卡，可根据客户需求灵活使用，药敏试验采用微量肉汤稀释法，抗生素浓度常见2-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个浓度梯度。3.配套真菌药敏板，可检测酵母样真菌、隐球菌、曲霉菌，药物≥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种。（投标中提供说明书或技术白皮书作为佐证材料）4.配套120孔测试卡所有药物浓度设置覆盖2022年CLSI折点和CLSI质控标准，保证产品质量。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配置设备：配置自动加样仪和数字浊度计。自动加样仪加样时间：150-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0秒/板，加样量：100ul；加样精度100 ul±10 ul。浊度计为自动读数取平均值，零点漂移：±0.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</w:rPr>
              <w:t>可提供连接全国细菌耐药监测网（CARSS）“药敏中间件软件”，自动审核并形成符合CARSS要求的耐药监测数据。（提供证明材料）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该系列设备的耗材均能通用。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质保期2年。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  <w:tc>
          <w:tcPr>
            <w:tcW w:w="8145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交货时间：合同签订后10个工作日内。</w:t>
            </w:r>
          </w:p>
        </w:tc>
      </w:tr>
    </w:tbl>
    <w:p>
      <w:pPr>
        <w:bidi w:val="0"/>
        <w:jc w:val="left"/>
        <w:rPr>
          <w:rFonts w:hint="default"/>
          <w:sz w:val="32"/>
          <w:szCs w:val="40"/>
          <w:lang w:val="en-US" w:eastAsia="zh-CN"/>
        </w:rPr>
      </w:pPr>
    </w:p>
    <w:p>
      <w:pPr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A1625"/>
    <w:rsid w:val="0A2B28F8"/>
    <w:rsid w:val="37A64DD7"/>
    <w:rsid w:val="466B673C"/>
    <w:rsid w:val="4D033C9C"/>
    <w:rsid w:val="54F0146C"/>
    <w:rsid w:val="55061CAD"/>
    <w:rsid w:val="710A1625"/>
    <w:rsid w:val="74336C1F"/>
    <w:rsid w:val="7ED2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tabs>
        <w:tab w:val="left" w:pos="864"/>
      </w:tabs>
      <w:spacing w:before="280" w:after="290" w:line="377" w:lineRule="auto"/>
      <w:ind w:left="864" w:hanging="864"/>
      <w:outlineLvl w:val="3"/>
    </w:pPr>
    <w:rPr>
      <w:rFonts w:ascii="Arial" w:hAnsi="Arial"/>
      <w:sz w:val="24"/>
      <w:szCs w:val="20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2024-09-24T01:06:00Z</dcterms:created>
  <dc:creator>现实</dc:creator>
  <cp:lastModifiedBy>Administrator</cp:lastModifiedBy>
  <cp:lastPrinted>2024-10-08T01:07:00Z</cp:lastPrinted>
  <dcterms:modified xsi:type="dcterms:W3CDTF">2024-10-14T03:16:42Z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