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eastAsia="zh-CN"/>
        </w:rPr>
      </w:pPr>
      <w:r>
        <w:rPr>
          <w:rFonts w:hint="eastAsia"/>
          <w:sz w:val="44"/>
          <w:szCs w:val="44"/>
          <w:lang w:eastAsia="zh-CN"/>
        </w:rPr>
        <w:t>结核分枝杆菌PCR检测设备</w:t>
      </w:r>
      <w:r>
        <w:rPr>
          <w:rFonts w:hint="eastAsia"/>
          <w:sz w:val="44"/>
          <w:szCs w:val="44"/>
          <w:lang w:eastAsia="zh-CN"/>
        </w:rPr>
        <w:t>购置需求</w:t>
      </w:r>
    </w:p>
    <w:p>
      <w:pPr>
        <w:pStyle w:val="2"/>
        <w:rPr>
          <w:rFonts w:hint="eastAsia"/>
          <w:lang w:eastAsia="zh-CN"/>
        </w:rPr>
      </w:pPr>
    </w:p>
    <w:p>
      <w:pPr>
        <w:keepNext w:val="0"/>
        <w:keepLines w:val="0"/>
        <w:pageBreakBefore w:val="0"/>
        <w:widowControl w:val="0"/>
        <w:numPr>
          <w:ilvl w:val="0"/>
          <w:numId w:val="0"/>
        </w:numPr>
        <w:tabs>
          <w:tab w:val="left" w:pos="142"/>
        </w:tabs>
        <w:kinsoku/>
        <w:overflowPunct/>
        <w:topLinePunct w:val="0"/>
        <w:autoSpaceDE/>
        <w:autoSpaceDN/>
        <w:bidi w:val="0"/>
        <w:adjustRightInd/>
        <w:snapToGrid/>
        <w:spacing w:line="360" w:lineRule="auto"/>
        <w:ind w:leftChars="0" w:firstLine="560" w:firstLineChars="200"/>
        <w:jc w:val="left"/>
        <w:textAlignment w:val="auto"/>
        <w:rPr>
          <w:rFonts w:hint="eastAsia" w:ascii="黑体" w:hAnsi="黑体" w:eastAsia="黑体" w:cs="黑体"/>
          <w:sz w:val="24"/>
          <w:highlight w:val="none"/>
          <w:lang w:val="en-US" w:eastAsia="zh-CN"/>
        </w:rPr>
      </w:pPr>
      <w:bookmarkStart w:id="0" w:name="OLE_LINK1"/>
      <w:r>
        <w:rPr>
          <w:rFonts w:hint="eastAsia" w:ascii="仿宋" w:hAnsi="仿宋" w:eastAsia="仿宋" w:cs="仿宋"/>
          <w:sz w:val="28"/>
          <w:szCs w:val="28"/>
        </w:rPr>
        <w:t>结核分枝杆菌PCR检测设备</w:t>
      </w:r>
      <w:r>
        <w:rPr>
          <w:rFonts w:hint="eastAsia" w:ascii="黑体" w:hAnsi="黑体" w:eastAsia="黑体" w:cs="黑体"/>
          <w:sz w:val="24"/>
          <w:highlight w:val="none"/>
          <w:lang w:val="en-US" w:eastAsia="zh-CN"/>
        </w:rPr>
        <w:t xml:space="preserve"> 预算38万元</w:t>
      </w:r>
    </w:p>
    <w:bookmarkEnd w:id="0"/>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▲1</w:t>
      </w:r>
      <w:r>
        <w:rPr>
          <w:rFonts w:hint="eastAsia" w:ascii="仿宋" w:hAnsi="仿宋" w:eastAsia="仿宋" w:cs="仿宋"/>
          <w:sz w:val="22"/>
          <w:szCs w:val="22"/>
          <w:lang w:val="en-US" w:eastAsia="zh-CN"/>
        </w:rPr>
        <w:t>.</w:t>
      </w:r>
      <w:r>
        <w:rPr>
          <w:rFonts w:hint="eastAsia" w:ascii="仿宋" w:hAnsi="仿宋" w:eastAsia="仿宋" w:cs="仿宋"/>
          <w:sz w:val="22"/>
          <w:szCs w:val="22"/>
        </w:rPr>
        <w:t>设备用途：能够从痰液或痰沉淀标本中同时快速鉴别结核分枝杆菌复合群及利福平耐药基因，包含rpoB、IS1081、IS6110 三个特异性靶标基因位点，且能显示相关位点的基因扩增曲线。</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2</w:t>
      </w:r>
      <w:r>
        <w:rPr>
          <w:rFonts w:hint="eastAsia" w:ascii="仿宋" w:hAnsi="仿宋" w:eastAsia="仿宋" w:cs="仿宋"/>
          <w:sz w:val="22"/>
          <w:szCs w:val="22"/>
          <w:lang w:val="en-US" w:eastAsia="zh-CN"/>
        </w:rPr>
        <w:t>.</w:t>
      </w:r>
      <w:r>
        <w:rPr>
          <w:rFonts w:hint="eastAsia" w:ascii="仿宋" w:hAnsi="仿宋" w:eastAsia="仿宋" w:cs="仿宋"/>
          <w:sz w:val="22"/>
          <w:szCs w:val="22"/>
        </w:rPr>
        <w:t>技术原理：采用经典的实时聚合酶链式反应(实时荧光定量PCR技术)对样本进行分析（每一循环包括高温变性、低温退火、中温延伸三步反应）。</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3</w:t>
      </w:r>
      <w:r>
        <w:rPr>
          <w:rFonts w:hint="eastAsia" w:ascii="仿宋" w:hAnsi="仿宋" w:eastAsia="仿宋" w:cs="仿宋"/>
          <w:sz w:val="22"/>
          <w:szCs w:val="22"/>
          <w:lang w:val="en-US" w:eastAsia="zh-CN"/>
        </w:rPr>
        <w:t>.</w:t>
      </w:r>
      <w:r>
        <w:rPr>
          <w:rFonts w:hint="eastAsia" w:ascii="仿宋" w:hAnsi="仿宋" w:eastAsia="仿宋" w:cs="仿宋"/>
          <w:sz w:val="22"/>
          <w:szCs w:val="22"/>
        </w:rPr>
        <w:t>产品资质：设备和配套试剂均获得国家药监局（NMPA）认证。</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4</w:t>
      </w:r>
      <w:r>
        <w:rPr>
          <w:rFonts w:hint="eastAsia" w:ascii="仿宋" w:hAnsi="仿宋" w:eastAsia="仿宋" w:cs="仿宋"/>
          <w:sz w:val="22"/>
          <w:szCs w:val="22"/>
          <w:lang w:val="en-US" w:eastAsia="zh-CN"/>
        </w:rPr>
        <w:t>.</w:t>
      </w:r>
      <w:r>
        <w:rPr>
          <w:rFonts w:hint="eastAsia" w:ascii="仿宋" w:hAnsi="仿宋" w:eastAsia="仿宋" w:cs="仿宋"/>
          <w:sz w:val="22"/>
          <w:szCs w:val="22"/>
        </w:rPr>
        <w:t>系统能够直接从患者样本中提取核酸，处理单元自动将提取出的核酸应用于核酸扩增和检测的后续步骤。以上的三个步骤(核酸提取、扩增和检测) 在获得最终结果前无需人工操作。</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▲5</w:t>
      </w:r>
      <w:r>
        <w:rPr>
          <w:rFonts w:hint="eastAsia" w:ascii="仿宋" w:hAnsi="仿宋" w:eastAsia="仿宋" w:cs="仿宋"/>
          <w:sz w:val="22"/>
          <w:szCs w:val="22"/>
          <w:lang w:val="en-US" w:eastAsia="zh-CN"/>
        </w:rPr>
        <w:t>.</w:t>
      </w:r>
      <w:r>
        <w:rPr>
          <w:rFonts w:hint="eastAsia" w:ascii="仿宋" w:hAnsi="仿宋" w:eastAsia="仿宋" w:cs="仿宋"/>
          <w:sz w:val="22"/>
          <w:szCs w:val="22"/>
        </w:rPr>
        <w:t>温控系统：具备快速升降温能力，最快升温速率≥10℃/s，最大降温速率≥2.5℃/s,模块温度均匀，温度准确度应在±1.0°C范围内。</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6</w:t>
      </w:r>
      <w:r>
        <w:rPr>
          <w:rFonts w:hint="eastAsia" w:ascii="仿宋" w:hAnsi="仿宋" w:eastAsia="仿宋" w:cs="仿宋"/>
          <w:sz w:val="22"/>
          <w:szCs w:val="22"/>
          <w:lang w:val="en-US" w:eastAsia="zh-CN"/>
        </w:rPr>
        <w:t>.</w:t>
      </w:r>
      <w:r>
        <w:rPr>
          <w:rFonts w:hint="eastAsia" w:ascii="仿宋" w:hAnsi="仿宋" w:eastAsia="仿宋" w:cs="仿宋"/>
          <w:sz w:val="22"/>
          <w:szCs w:val="22"/>
        </w:rPr>
        <w:t>样本检测通量：≥4个样本检测通量，在通量范围内，可随时进行单个或多个样本和项目，可实现样本随到随做。</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▲7</w:t>
      </w:r>
      <w:r>
        <w:rPr>
          <w:rFonts w:hint="eastAsia" w:ascii="仿宋" w:hAnsi="仿宋" w:eastAsia="仿宋" w:cs="仿宋"/>
          <w:sz w:val="22"/>
          <w:szCs w:val="22"/>
          <w:lang w:val="en-US" w:eastAsia="zh-CN"/>
        </w:rPr>
        <w:t>.</w:t>
      </w:r>
      <w:r>
        <w:rPr>
          <w:rFonts w:hint="eastAsia" w:ascii="仿宋" w:hAnsi="仿宋" w:eastAsia="仿宋" w:cs="仿宋"/>
          <w:sz w:val="22"/>
          <w:szCs w:val="22"/>
        </w:rPr>
        <w:t>检测时间：对于公共卫生负担重的传染病病原体，具备快检能力，可减少门诊的就诊传播风险。结核分枝杆菌和利福平耐药基因检测时间≤2h; 流感病毒检测时间≤1h等。</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▲8</w:t>
      </w:r>
      <w:r>
        <w:rPr>
          <w:rFonts w:hint="eastAsia" w:ascii="仿宋" w:hAnsi="仿宋" w:eastAsia="仿宋" w:cs="仿宋"/>
          <w:sz w:val="22"/>
          <w:szCs w:val="22"/>
          <w:lang w:val="en-US" w:eastAsia="zh-CN"/>
        </w:rPr>
        <w:t>.</w:t>
      </w:r>
      <w:r>
        <w:rPr>
          <w:rFonts w:hint="eastAsia" w:ascii="仿宋" w:hAnsi="仿宋" w:eastAsia="仿宋" w:cs="仿宋"/>
          <w:sz w:val="22"/>
          <w:szCs w:val="22"/>
        </w:rPr>
        <w:t>光学通道特性：≥7色荧光信号激发及检测，能够实现单管多重、定性/定量检测分析。</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9</w:t>
      </w:r>
      <w:r>
        <w:rPr>
          <w:rFonts w:hint="eastAsia" w:ascii="仿宋" w:hAnsi="仿宋" w:eastAsia="仿宋" w:cs="仿宋"/>
          <w:sz w:val="22"/>
          <w:szCs w:val="22"/>
          <w:lang w:val="en-US" w:eastAsia="zh-CN"/>
        </w:rPr>
        <w:t>.</w:t>
      </w:r>
      <w:r>
        <w:rPr>
          <w:rFonts w:hint="eastAsia" w:ascii="仿宋" w:hAnsi="仿宋" w:eastAsia="仿宋" w:cs="仿宋"/>
          <w:sz w:val="22"/>
          <w:szCs w:val="22"/>
        </w:rPr>
        <w:t>设备灵活性：检测通道模块相互独立，单模块对应单样本位，单样本位独立处理，互不干扰，样本运行后，其他检测单元可随时启动实验，实现不同样本、不同检测项目的随到随检，空样本位无需配平。</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▲10</w:t>
      </w:r>
      <w:r>
        <w:rPr>
          <w:rFonts w:hint="eastAsia" w:ascii="仿宋" w:hAnsi="仿宋" w:eastAsia="仿宋" w:cs="仿宋"/>
          <w:sz w:val="22"/>
          <w:szCs w:val="22"/>
          <w:lang w:val="en-US" w:eastAsia="zh-CN"/>
        </w:rPr>
        <w:t>.</w:t>
      </w:r>
      <w:r>
        <w:rPr>
          <w:rFonts w:hint="eastAsia" w:ascii="仿宋" w:hAnsi="仿宋" w:eastAsia="仿宋" w:cs="仿宋"/>
          <w:sz w:val="22"/>
          <w:szCs w:val="22"/>
        </w:rPr>
        <w:t>适配菜单拓展：能同时运行细菌类、病毒类病原体检测项目，覆盖细菌耐药、HIV（艾滋病毒）、HBV（乙肝）等病毒载量分析等类型的试剂产品，包括但不限于结核分枝杆菌和利福平耐药基因、流感病毒检测等。</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▲11</w:t>
      </w:r>
      <w:r>
        <w:rPr>
          <w:rFonts w:hint="eastAsia" w:ascii="仿宋" w:hAnsi="仿宋" w:eastAsia="仿宋" w:cs="仿宋"/>
          <w:sz w:val="22"/>
          <w:szCs w:val="22"/>
          <w:lang w:val="en-US" w:eastAsia="zh-CN"/>
        </w:rPr>
        <w:t>.</w:t>
      </w:r>
      <w:r>
        <w:rPr>
          <w:rFonts w:hint="eastAsia" w:ascii="仿宋" w:hAnsi="仿宋" w:eastAsia="仿宋" w:cs="仿宋"/>
          <w:sz w:val="22"/>
          <w:szCs w:val="22"/>
        </w:rPr>
        <w:t>检测灵敏度：配套试剂结核分枝杆菌和利福平耐药试剂最低检出限≤15cfu/ml。</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12</w:t>
      </w:r>
      <w:r>
        <w:rPr>
          <w:rFonts w:hint="eastAsia" w:ascii="仿宋" w:hAnsi="仿宋" w:eastAsia="仿宋" w:cs="仿宋"/>
          <w:sz w:val="22"/>
          <w:szCs w:val="22"/>
          <w:lang w:val="en-US" w:eastAsia="zh-CN"/>
        </w:rPr>
        <w:t>.</w:t>
      </w:r>
      <w:r>
        <w:rPr>
          <w:rFonts w:hint="eastAsia" w:ascii="仿宋" w:hAnsi="仿宋" w:eastAsia="仿宋" w:cs="仿宋"/>
          <w:sz w:val="22"/>
          <w:szCs w:val="22"/>
        </w:rPr>
        <w:t>分析软件：具备能够定性、定量分析实验室数据，并自动分析判读结果的能力。</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13</w:t>
      </w:r>
      <w:r>
        <w:rPr>
          <w:rFonts w:hint="eastAsia" w:ascii="仿宋" w:hAnsi="仿宋" w:eastAsia="仿宋" w:cs="仿宋"/>
          <w:sz w:val="22"/>
          <w:szCs w:val="22"/>
          <w:lang w:val="en-US" w:eastAsia="zh-CN"/>
        </w:rPr>
        <w:t>.</w:t>
      </w:r>
      <w:r>
        <w:rPr>
          <w:rFonts w:hint="eastAsia" w:ascii="仿宋" w:hAnsi="仿宋" w:eastAsia="仿宋" w:cs="仿宋"/>
          <w:sz w:val="22"/>
          <w:szCs w:val="22"/>
        </w:rPr>
        <w:t>仪器维护：具备仪器自检及维护功能，实时监控仪器运行状态。</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14</w:t>
      </w:r>
      <w:r>
        <w:rPr>
          <w:rFonts w:hint="eastAsia" w:ascii="仿宋" w:hAnsi="仿宋" w:eastAsia="仿宋" w:cs="仿宋"/>
          <w:sz w:val="22"/>
          <w:szCs w:val="22"/>
          <w:lang w:val="en-US" w:eastAsia="zh-CN"/>
        </w:rPr>
        <w:t>.</w:t>
      </w:r>
      <w:r>
        <w:rPr>
          <w:rFonts w:hint="eastAsia" w:ascii="仿宋" w:hAnsi="仿宋" w:eastAsia="仿宋" w:cs="仿宋"/>
          <w:sz w:val="22"/>
          <w:szCs w:val="22"/>
        </w:rPr>
        <w:t>生物安全性：单个样本的核酸提取、核酸扩增和目标检测三个步骤应最大化的减少暴露过程，以减少提取、扩增过程中产生污染的可能性，提高生物安全。</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sz w:val="22"/>
          <w:szCs w:val="22"/>
        </w:rPr>
      </w:pPr>
      <w:r>
        <w:rPr>
          <w:rFonts w:hint="eastAsia" w:ascii="仿宋" w:hAnsi="仿宋" w:eastAsia="仿宋" w:cs="仿宋"/>
          <w:sz w:val="22"/>
          <w:szCs w:val="22"/>
        </w:rPr>
        <w:t>15</w:t>
      </w:r>
      <w:r>
        <w:rPr>
          <w:rFonts w:hint="eastAsia" w:ascii="仿宋" w:hAnsi="仿宋" w:eastAsia="仿宋" w:cs="仿宋"/>
          <w:sz w:val="22"/>
          <w:szCs w:val="22"/>
          <w:lang w:val="en-US" w:eastAsia="zh-CN"/>
        </w:rPr>
        <w:t>.</w:t>
      </w:r>
      <w:r>
        <w:rPr>
          <w:rFonts w:hint="eastAsia" w:ascii="仿宋" w:hAnsi="仿宋" w:eastAsia="仿宋" w:cs="仿宋"/>
          <w:sz w:val="22"/>
          <w:szCs w:val="22"/>
        </w:rPr>
        <w:t>试剂盒：独立包装试剂盒，全封闭设计，单人份检测，试剂有效期≥12个月，可室温储存，每个试剂盒可同时检测结核分枝杆菌及利福平耐药。试剂盒内置质控，无需额外购买。</w:t>
      </w:r>
      <w:bookmarkStart w:id="1" w:name="_GoBack"/>
      <w:bookmarkEnd w:id="1"/>
    </w:p>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 w:hAnsi="仿宋" w:eastAsia="仿宋" w:cs="仿宋"/>
          <w:color w:val="000000" w:themeColor="text1"/>
          <w:sz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 w:hAnsi="仿宋" w:eastAsia="仿宋" w:cs="仿宋"/>
          <w:color w:val="000000" w:themeColor="text1"/>
          <w:sz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 w:hAnsi="仿宋" w:eastAsia="仿宋" w:cs="仿宋"/>
          <w:color w:val="000000" w:themeColor="text1"/>
          <w:sz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 w:hAnsi="仿宋" w:eastAsia="仿宋" w:cs="仿宋"/>
          <w:color w:val="000000" w:themeColor="text1"/>
          <w:sz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sz w:val="44"/>
          <w:szCs w:val="4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2D289C"/>
    <w:rsid w:val="00FE6624"/>
    <w:rsid w:val="04954286"/>
    <w:rsid w:val="0FF477C0"/>
    <w:rsid w:val="12D629F9"/>
    <w:rsid w:val="189C67C8"/>
    <w:rsid w:val="1B520D56"/>
    <w:rsid w:val="21EA0E72"/>
    <w:rsid w:val="22183BD2"/>
    <w:rsid w:val="26561BEC"/>
    <w:rsid w:val="2C6B7E25"/>
    <w:rsid w:val="355467A3"/>
    <w:rsid w:val="55854BC0"/>
    <w:rsid w:val="63235C92"/>
    <w:rsid w:val="662D3DEA"/>
    <w:rsid w:val="66D91A99"/>
    <w:rsid w:val="702D28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customStyle="1" w:styleId="2">
    <w:name w:val="表格文字"/>
    <w:basedOn w:val="1"/>
    <w:next w:val="3"/>
    <w:qFormat/>
    <w:uiPriority w:val="0"/>
    <w:pPr>
      <w:spacing w:before="25" w:after="25"/>
      <w:jc w:val="left"/>
    </w:pPr>
    <w:rPr>
      <w:bCs/>
      <w:spacing w:val="10"/>
      <w:kern w:val="0"/>
      <w:sz w:val="24"/>
      <w:szCs w:val="20"/>
    </w:rPr>
  </w:style>
  <w:style w:type="paragraph" w:styleId="3">
    <w:name w:val="Body Text"/>
    <w:basedOn w:val="1"/>
    <w:next w:val="1"/>
    <w:qFormat/>
    <w:uiPriority w:val="0"/>
    <w:pPr>
      <w:spacing w:line="360" w:lineRule="auto"/>
    </w:pPr>
    <w:rPr>
      <w:szCs w:val="20"/>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customStyle="1" w:styleId="7">
    <w:name w:val="List Paragraph"/>
    <w:basedOn w:val="1"/>
    <w:qFormat/>
    <w:uiPriority w:val="34"/>
    <w:pPr>
      <w:ind w:firstLine="420" w:firstLineChars="200"/>
    </w:pPr>
  </w:style>
  <w:style w:type="character" w:customStyle="1" w:styleId="8">
    <w:name w:val="NormalCharacter"/>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2025-11-27T01:59:00Z</dcterms:created>
  <dc:creator>Administrator</dc:creator>
  <cp:lastModifiedBy>Administrator</cp:lastModifiedBy>
  <dcterms:modified xsi:type="dcterms:W3CDTF">2026-01-13T03:08:17Z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