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ind w:firstLine="723" w:firstLineChars="200"/>
        <w:jc w:val="center"/>
        <w:textAlignment w:val="auto"/>
        <w:rPr>
          <w:rFonts w:hint="eastAsia" w:ascii="宋体" w:hAnsi="宋体" w:cs="宋体"/>
          <w:b/>
          <w:bCs/>
          <w:sz w:val="36"/>
          <w:szCs w:val="36"/>
        </w:rPr>
      </w:pPr>
      <w:r>
        <w:rPr>
          <w:rFonts w:hint="eastAsia" w:ascii="宋体" w:hAnsi="宋体" w:cs="宋体"/>
          <w:b/>
          <w:bCs/>
          <w:sz w:val="36"/>
          <w:szCs w:val="36"/>
        </w:rPr>
        <w:t>贝朗透析机维保购置需求</w:t>
      </w:r>
    </w:p>
    <w:p>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一</w:t>
      </w:r>
      <w:bookmarkStart w:id="0" w:name="_GoBack"/>
      <w:bookmarkEnd w:id="0"/>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12台贝朗血液透析维保技术参数</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（一）</w:t>
      </w:r>
      <w:r>
        <w:rPr>
          <w:rFonts w:hint="eastAsia" w:ascii="仿宋" w:hAnsi="仿宋" w:eastAsia="仿宋" w:cs="仿宋"/>
          <w:b w:val="0"/>
          <w:bCs w:val="0"/>
          <w:sz w:val="28"/>
          <w:szCs w:val="28"/>
        </w:rPr>
        <w:t>现场讲解与咨询</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可在故障维修或维护保养、巡检时一并提供设备原理及其零配件的技术咨询；</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技术实现手段；</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电路和水路简介；</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日常机上基本操作(非临床治疗)；</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设备基本保养及日常维护；</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设备简单日常故障现象及处理流程；</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介绍与厂家技术部门的沟通模式及流程等内容。</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（二）</w:t>
      </w:r>
      <w:r>
        <w:rPr>
          <w:rFonts w:hint="eastAsia" w:ascii="仿宋" w:hAnsi="仿宋" w:eastAsia="仿宋" w:cs="仿宋"/>
          <w:b w:val="0"/>
          <w:bCs w:val="0"/>
          <w:sz w:val="28"/>
          <w:szCs w:val="28"/>
        </w:rPr>
        <w:t>故障维修</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根据报修通知接到报修通知后，及时进行上门(如适用)维护、维修服务，</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（三）</w:t>
      </w:r>
      <w:r>
        <w:rPr>
          <w:rFonts w:hint="eastAsia" w:ascii="仿宋" w:hAnsi="仿宋" w:eastAsia="仿宋" w:cs="仿宋"/>
          <w:b w:val="0"/>
          <w:bCs w:val="0"/>
          <w:sz w:val="28"/>
          <w:szCs w:val="28"/>
        </w:rPr>
        <w:t>基础运行参数(SOP)检查</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每年一次，可与故障维修一并提供</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查验透析治疗关键参数是否符合卫生部SOP要求；</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符合当地监管部门的一般要求和检查后整改要求(如有)等。</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（四）</w:t>
      </w:r>
      <w:r>
        <w:rPr>
          <w:rFonts w:hint="eastAsia" w:ascii="仿宋" w:hAnsi="仿宋" w:eastAsia="仿宋" w:cs="仿宋"/>
          <w:b w:val="0"/>
          <w:bCs w:val="0"/>
          <w:sz w:val="28"/>
          <w:szCs w:val="28"/>
        </w:rPr>
        <w:t>TSC技术安全检查</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在协议有效期内，到达TSC技术安全检查周期的设备，免费提供</w:t>
      </w:r>
      <w:r>
        <w:rPr>
          <w:rFonts w:hint="eastAsia" w:ascii="仿宋" w:hAnsi="仿宋" w:eastAsia="仿宋" w:cs="仿宋"/>
          <w:sz w:val="28"/>
          <w:szCs w:val="28"/>
          <w:u w:val="single"/>
        </w:rPr>
        <w:t>1</w:t>
      </w:r>
      <w:r>
        <w:rPr>
          <w:rFonts w:hint="eastAsia" w:ascii="仿宋" w:hAnsi="仿宋" w:eastAsia="仿宋" w:cs="仿宋"/>
          <w:sz w:val="28"/>
          <w:szCs w:val="28"/>
        </w:rPr>
        <w:t>次TSC技术安全检查。</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对厂家要求的所有安全相关参数和设置进行强制性检查；</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根据实际使用单位检查数据进行分析和备案，必要时也用于后续保修计划微调。</w:t>
      </w:r>
    </w:p>
    <w:p>
      <w:pPr>
        <w:keepNext w:val="0"/>
        <w:keepLines w:val="0"/>
        <w:pageBreakBefore w:val="0"/>
        <w:tabs>
          <w:tab w:val="left" w:pos="-720"/>
        </w:tabs>
        <w:suppressAutoHyphens/>
        <w:kinsoku/>
        <w:wordWrap/>
        <w:overflowPunct/>
        <w:topLinePunct w:val="0"/>
        <w:autoSpaceDE/>
        <w:autoSpaceDN/>
        <w:bidi w:val="0"/>
        <w:adjustRightInd/>
        <w:snapToGrid/>
        <w:spacing w:line="360" w:lineRule="auto"/>
        <w:ind w:firstLine="552" w:firstLineChars="200"/>
        <w:jc w:val="both"/>
        <w:textAlignment w:val="auto"/>
        <w:rPr>
          <w:rFonts w:hint="eastAsia" w:ascii="仿宋" w:hAnsi="仿宋" w:eastAsia="仿宋" w:cs="仿宋"/>
          <w:b w:val="0"/>
          <w:bCs w:val="0"/>
          <w:spacing w:val="-2"/>
          <w:sz w:val="28"/>
          <w:szCs w:val="28"/>
          <w:lang w:val="en-AU"/>
        </w:rPr>
      </w:pPr>
      <w:r>
        <w:rPr>
          <w:rFonts w:hint="eastAsia" w:ascii="仿宋" w:hAnsi="仿宋" w:eastAsia="仿宋" w:cs="仿宋"/>
          <w:b w:val="0"/>
          <w:bCs w:val="0"/>
          <w:spacing w:val="-2"/>
          <w:sz w:val="28"/>
          <w:szCs w:val="28"/>
          <w:lang w:val="en-AU" w:eastAsia="zh-CN"/>
        </w:rPr>
        <w:t>二、</w:t>
      </w:r>
      <w:r>
        <w:rPr>
          <w:rFonts w:hint="eastAsia" w:ascii="仿宋" w:hAnsi="仿宋" w:eastAsia="仿宋" w:cs="仿宋"/>
          <w:b w:val="0"/>
          <w:bCs w:val="0"/>
          <w:spacing w:val="-2"/>
          <w:sz w:val="28"/>
          <w:szCs w:val="28"/>
          <w:lang w:val="en-AU"/>
        </w:rPr>
        <w:t>售后服务要求</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配备足额合格专业人员按照本协议约定提供服务，并为双方书面确认的设备指派特定负责人(下称</w:t>
      </w:r>
      <w:r>
        <w:rPr>
          <w:rFonts w:hint="eastAsia" w:ascii="仿宋" w:hAnsi="仿宋" w:eastAsia="仿宋" w:cs="仿宋"/>
          <w:b w:val="0"/>
          <w:bCs w:val="0"/>
          <w:sz w:val="28"/>
          <w:szCs w:val="28"/>
        </w:rPr>
        <w:t>“特定负责人”</w:t>
      </w:r>
      <w:r>
        <w:rPr>
          <w:rFonts w:hint="eastAsia" w:ascii="仿宋" w:hAnsi="仿宋" w:eastAsia="仿宋" w:cs="仿宋"/>
          <w:sz w:val="28"/>
          <w:szCs w:val="28"/>
        </w:rPr>
        <w:t>)(如特定负责人发生变更的，及时通知设备保修购买方)，接收设备保修购买方负责人的服务指示；</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sz w:val="28"/>
          <w:szCs w:val="28"/>
        </w:rPr>
      </w:pPr>
      <w:r>
        <w:rPr>
          <w:rFonts w:hint="eastAsia" w:ascii="仿宋" w:hAnsi="仿宋" w:eastAsia="仿宋" w:cs="仿宋"/>
          <w:sz w:val="28"/>
          <w:szCs w:val="28"/>
          <w:lang w:eastAsia="zh-CN"/>
        </w:rPr>
        <w:t>（二）</w:t>
      </w:r>
      <w:r>
        <w:rPr>
          <w:rFonts w:hint="eastAsia" w:ascii="仿宋" w:hAnsi="仿宋" w:eastAsia="仿宋" w:cs="仿宋"/>
          <w:sz w:val="28"/>
          <w:szCs w:val="28"/>
        </w:rPr>
        <w:t>提供全天候服务，设备保修购买方可在任何时间(含法定节假日以及工作日的非工作时间)通过设备保修购买方指定联络人(下称</w:t>
      </w:r>
      <w:r>
        <w:rPr>
          <w:rFonts w:hint="eastAsia" w:ascii="仿宋" w:hAnsi="仿宋" w:eastAsia="仿宋" w:cs="仿宋"/>
          <w:b w:val="0"/>
          <w:bCs w:val="0"/>
          <w:sz w:val="28"/>
          <w:szCs w:val="28"/>
        </w:rPr>
        <w:t>“指定联络人”)提出服务需求(下称“报修通知”</w:t>
      </w:r>
      <w:r>
        <w:rPr>
          <w:rFonts w:hint="eastAsia" w:ascii="仿宋" w:hAnsi="仿宋" w:eastAsia="仿宋" w:cs="仿宋"/>
          <w:sz w:val="28"/>
          <w:szCs w:val="28"/>
        </w:rPr>
        <w:t>)；</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sz w:val="28"/>
          <w:szCs w:val="28"/>
        </w:rPr>
      </w:pPr>
      <w:r>
        <w:rPr>
          <w:rFonts w:hint="eastAsia" w:ascii="仿宋" w:hAnsi="仿宋" w:eastAsia="仿宋" w:cs="仿宋"/>
          <w:sz w:val="28"/>
          <w:szCs w:val="28"/>
          <w:lang w:eastAsia="zh-CN"/>
        </w:rPr>
        <w:t>（三）</w:t>
      </w:r>
      <w:r>
        <w:rPr>
          <w:rFonts w:hint="eastAsia" w:ascii="仿宋" w:hAnsi="仿宋" w:eastAsia="仿宋" w:cs="仿宋"/>
          <w:sz w:val="28"/>
          <w:szCs w:val="28"/>
        </w:rPr>
        <w:t>在收到指定联络人的报修通知后2小时内进行答复。如果认定需要提供现场服务的，一般在收到报修通知后24小时到达现场，特殊情况下(包括但不限于通过常规交通工具无法在24小时之内到达</w:t>
      </w:r>
      <w:r>
        <w:rPr>
          <w:rFonts w:hint="eastAsia" w:ascii="仿宋" w:hAnsi="仿宋" w:eastAsia="仿宋" w:cs="仿宋"/>
          <w:kern w:val="0"/>
          <w:sz w:val="28"/>
          <w:szCs w:val="28"/>
        </w:rPr>
        <w:t>设备所在</w:t>
      </w:r>
      <w:r>
        <w:rPr>
          <w:rFonts w:hint="eastAsia" w:ascii="仿宋" w:hAnsi="仿宋" w:eastAsia="仿宋" w:cs="仿宋"/>
          <w:sz w:val="28"/>
          <w:szCs w:val="28"/>
        </w:rPr>
        <w:t>现场，发生下文定义的不可抗力事件)在收到报修通知后48小时内到达现场。</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sz w:val="28"/>
          <w:szCs w:val="28"/>
        </w:rPr>
      </w:pPr>
      <w:r>
        <w:rPr>
          <w:rFonts w:hint="eastAsia" w:ascii="仿宋" w:hAnsi="仿宋" w:eastAsia="仿宋" w:cs="仿宋"/>
          <w:sz w:val="28"/>
          <w:szCs w:val="28"/>
          <w:lang w:eastAsia="zh-CN"/>
        </w:rPr>
        <w:t>（四）</w:t>
      </w:r>
      <w:r>
        <w:rPr>
          <w:rFonts w:hint="eastAsia" w:ascii="仿宋" w:hAnsi="仿宋" w:eastAsia="仿宋" w:cs="仿宋"/>
          <w:sz w:val="28"/>
          <w:szCs w:val="28"/>
        </w:rPr>
        <w:t>如果遇到特殊或复杂技术问题，设备保修购买方可直接联系厂家中国技术支持团队寻求解决方案。</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sz w:val="28"/>
          <w:szCs w:val="28"/>
        </w:rPr>
      </w:pPr>
      <w:r>
        <w:rPr>
          <w:rFonts w:hint="eastAsia" w:ascii="仿宋" w:hAnsi="仿宋" w:eastAsia="仿宋" w:cs="仿宋"/>
          <w:sz w:val="28"/>
          <w:szCs w:val="28"/>
        </w:rPr>
        <w:t>提供合法合格的原厂</w:t>
      </w:r>
      <w:r>
        <w:rPr>
          <w:rFonts w:hint="eastAsia" w:ascii="仿宋" w:hAnsi="仿宋" w:eastAsia="仿宋" w:cs="仿宋"/>
          <w:sz w:val="28"/>
          <w:szCs w:val="28"/>
          <w:lang w:val="en-US" w:eastAsia="zh-CN"/>
        </w:rPr>
        <w:t>全新</w:t>
      </w:r>
      <w:r>
        <w:rPr>
          <w:rFonts w:hint="eastAsia" w:ascii="仿宋" w:hAnsi="仿宋" w:eastAsia="仿宋" w:cs="仿宋"/>
          <w:sz w:val="28"/>
          <w:szCs w:val="28"/>
        </w:rPr>
        <w:t>零配件；</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sz w:val="28"/>
          <w:szCs w:val="28"/>
        </w:rPr>
      </w:pPr>
      <w:r>
        <w:rPr>
          <w:rFonts w:hint="eastAsia" w:ascii="仿宋" w:hAnsi="仿宋" w:eastAsia="仿宋" w:cs="仿宋"/>
          <w:sz w:val="28"/>
          <w:szCs w:val="28"/>
        </w:rPr>
        <w:t>常规零配件在判断需要更换零配件的当天(如果当天为工作日)或当天(如果当天非工作日)之后的第1个工作日发货；如遇个别零配件暂时无货的，在判断需要更换零配件的当天后的第5个工作日发货。</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每次服务完成后，特定负责人应与设备保修购买方的指定联络人共同签署书面的服务完成确认。</w:t>
      </w:r>
    </w:p>
    <w:p>
      <w:pPr>
        <w:spacing w:line="360" w:lineRule="auto"/>
        <w:rPr>
          <w:rFonts w:hint="eastAsia" w:ascii="仿宋" w:hAnsi="仿宋" w:eastAsia="仿宋" w:cs="仿宋"/>
          <w:sz w:val="28"/>
          <w:szCs w:val="28"/>
        </w:rPr>
      </w:pPr>
    </w:p>
    <w:p>
      <w:pP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ordia New">
    <w:panose1 w:val="020B0304020202020204"/>
    <w:charset w:val="DE"/>
    <w:family w:val="swiss"/>
    <w:pitch w:val="default"/>
    <w:sig w:usb0="81000003" w:usb1="00000000" w:usb2="00000000" w:usb3="00000000" w:csb0="00010001" w:csb1="00000000"/>
  </w:font>
  <w:font w:name="Cordia New">
    <w:panose1 w:val="020B0304020202020204"/>
    <w:charset w:val="00"/>
    <w:family w:val="auto"/>
    <w:pitch w:val="default"/>
    <w:sig w:usb0="81000003" w:usb1="00000000" w:usb2="00000000" w:usb3="00000000" w:csb0="00010001"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1NjI0YjE5ZjZiNDU5N2QyMDdlYzA3ZTQyODU2ZjUifQ=="/>
  </w:docVars>
  <w:rsids>
    <w:rsidRoot w:val="00CE73D8"/>
    <w:rsid w:val="00151D8B"/>
    <w:rsid w:val="001D5024"/>
    <w:rsid w:val="004237CE"/>
    <w:rsid w:val="005403AD"/>
    <w:rsid w:val="009E23E9"/>
    <w:rsid w:val="00B22DBA"/>
    <w:rsid w:val="00BE19EA"/>
    <w:rsid w:val="00BF5986"/>
    <w:rsid w:val="00CE73D8"/>
    <w:rsid w:val="00FF4E07"/>
    <w:rsid w:val="0CCD126A"/>
    <w:rsid w:val="162B09D4"/>
    <w:rsid w:val="24D56544"/>
    <w:rsid w:val="605C5345"/>
    <w:rsid w:val="6DB85A93"/>
    <w:rsid w:val="7181719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22"/>
      <w:lang w:bidi="th-TH"/>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lang w:bidi="th-TH"/>
    </w:rPr>
  </w:style>
  <w:style w:type="character" w:customStyle="1" w:styleId="7">
    <w:name w:val="页眉 字符"/>
    <w:basedOn w:val="6"/>
    <w:link w:val="4"/>
    <w:qFormat/>
    <w:uiPriority w:val="99"/>
    <w:rPr>
      <w:sz w:val="18"/>
      <w:szCs w:val="22"/>
    </w:rPr>
  </w:style>
  <w:style w:type="character" w:customStyle="1" w:styleId="8">
    <w:name w:val="页脚 字符"/>
    <w:basedOn w:val="6"/>
    <w:link w:val="3"/>
    <w:qFormat/>
    <w:uiPriority w:val="99"/>
    <w:rPr>
      <w:sz w:val="18"/>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 Braun</Company>
  <Pages>2</Pages>
  <Words>134</Words>
  <Characters>768</Characters>
  <Lines>6</Lines>
  <Paragraphs>1</Paragraphs>
  <TotalTime>10</TotalTime>
  <ScaleCrop>false</ScaleCrop>
  <LinksUpToDate>false</LinksUpToDate>
  <CharactersWithSpaces>901</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2023-11-07T12:02:00Z</dcterms:created>
  <dc:creator>Joyoung Wen</dc:creator>
  <cp:lastModifiedBy>Administrator</cp:lastModifiedBy>
  <dcterms:modified xsi:type="dcterms:W3CDTF">2026-03-26T01:34:21Z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659A24C0F3F541A5835D39EBF6FE829A_12</vt:lpwstr>
  </property>
  <property fmtid="{D5CDD505-2E9C-101B-9397-08002B2CF9AE}" pid="4" name="MSIP_Label_a8de25a8-ef47-40a7-b7ec-c38f3edc2acf_Enabled">
    <vt:lpwstr>true</vt:lpwstr>
  </property>
  <property fmtid="{D5CDD505-2E9C-101B-9397-08002B2CF9AE}" pid="5" name="MSIP_Label_a8de25a8-ef47-40a7-b7ec-c38f3edc2acf_SetDate">
    <vt:lpwstr>2023-12-11T04:07:35Z</vt:lpwstr>
  </property>
  <property fmtid="{D5CDD505-2E9C-101B-9397-08002B2CF9AE}" pid="6" name="MSIP_Label_a8de25a8-ef47-40a7-b7ec-c38f3edc2acf_Method">
    <vt:lpwstr>Standard</vt:lpwstr>
  </property>
  <property fmtid="{D5CDD505-2E9C-101B-9397-08002B2CF9AE}" pid="7" name="MSIP_Label_a8de25a8-ef47-40a7-b7ec-c38f3edc2acf_Name">
    <vt:lpwstr>a8de25a8-ef47-40a7-b7ec-c38f3edc2acf</vt:lpwstr>
  </property>
  <property fmtid="{D5CDD505-2E9C-101B-9397-08002B2CF9AE}" pid="8" name="MSIP_Label_a8de25a8-ef47-40a7-b7ec-c38f3edc2acf_SiteId">
    <vt:lpwstr>15d1bef2-0a6a-46f9-be4c-023279325e51</vt:lpwstr>
  </property>
  <property fmtid="{D5CDD505-2E9C-101B-9397-08002B2CF9AE}" pid="9" name="MSIP_Label_a8de25a8-ef47-40a7-b7ec-c38f3edc2acf_ActionId">
    <vt:lpwstr>d255ab1b-eaa0-43dd-b3ba-265eed9d7e33</vt:lpwstr>
  </property>
  <property fmtid="{D5CDD505-2E9C-101B-9397-08002B2CF9AE}" pid="10" name="MSIP_Label_a8de25a8-ef47-40a7-b7ec-c38f3edc2acf_ContentBits">
    <vt:lpwstr>0</vt:lpwstr>
  </property>
</Properties>
</file>