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9F2BB">
      <w:pPr>
        <w:pStyle w:val="20"/>
        <w:ind w:left="0" w:leftChars="0" w:firstLine="0" w:firstLineChars="0"/>
        <w:jc w:val="center"/>
        <w:rPr>
          <w:rFonts w:hint="eastAsia" w:ascii="宋体" w:hAnsi="宋体" w:eastAsia="宋体" w:cs="宋体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监护仪采购需求</w:t>
      </w:r>
      <w:bookmarkStart w:id="1" w:name="_GoBack"/>
      <w:bookmarkEnd w:id="1"/>
    </w:p>
    <w:p w14:paraId="05C5EF1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43656F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转运监护仪</w:t>
      </w:r>
    </w:p>
    <w:p w14:paraId="07676C8B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转运监护仪，</w:t>
      </w:r>
      <w:r>
        <w:rPr>
          <w:rFonts w:hint="eastAsia" w:ascii="仿宋" w:hAnsi="仿宋" w:eastAsia="仿宋" w:cs="仿宋"/>
          <w:sz w:val="24"/>
          <w:highlight w:val="none"/>
        </w:rPr>
        <w:t>适用于成人、小儿、新生儿的监测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适用</w:t>
      </w:r>
      <w:r>
        <w:rPr>
          <w:rFonts w:hint="eastAsia" w:ascii="仿宋" w:hAnsi="仿宋" w:eastAsia="仿宋" w:cs="仿宋"/>
          <w:sz w:val="24"/>
          <w:highlight w:val="none"/>
        </w:rPr>
        <w:t>救护车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</w:rPr>
        <w:t>直升飞机和固定翼飞机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24"/>
          <w:highlight w:val="none"/>
        </w:rPr>
        <w:t>通过相关转运标准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</w:p>
    <w:p w14:paraId="07A56BC2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5.5英寸彩色触摸电容显示屏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</w:p>
    <w:p w14:paraId="5635685B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整机无风扇设计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24"/>
          <w:highlight w:val="none"/>
        </w:rPr>
        <w:t>整机重量＜1Kg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。</w:t>
      </w:r>
    </w:p>
    <w:p w14:paraId="63F67E4F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不弱于</w:t>
      </w:r>
      <w:r>
        <w:rPr>
          <w:rFonts w:hint="eastAsia" w:ascii="仿宋" w:hAnsi="仿宋" w:eastAsia="仿宋" w:cs="仿宋"/>
          <w:sz w:val="24"/>
          <w:highlight w:val="none"/>
        </w:rPr>
        <w:t>IP44防尘防水，易清洁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  <w:r>
        <w:rPr>
          <w:rFonts w:hint="eastAsia" w:ascii="仿宋" w:hAnsi="仿宋" w:eastAsia="仿宋" w:cs="仿宋"/>
          <w:sz w:val="24"/>
          <w:highlight w:val="none"/>
        </w:rPr>
        <w:t>抗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至少</w:t>
      </w:r>
      <w:r>
        <w:rPr>
          <w:rFonts w:hint="eastAsia" w:ascii="仿宋" w:hAnsi="仿宋" w:eastAsia="仿宋" w:cs="仿宋"/>
          <w:sz w:val="24"/>
          <w:highlight w:val="none"/>
        </w:rPr>
        <w:t>1.2米6面跌落，满足转运过程中的复杂临床救治环境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</w:p>
    <w:p w14:paraId="65434897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内置锂电池供电，支持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5小时持续监测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  <w:r>
        <w:rPr>
          <w:rFonts w:hint="eastAsia" w:ascii="仿宋" w:hAnsi="仿宋" w:eastAsia="仿宋" w:cs="仿宋"/>
          <w:sz w:val="24"/>
          <w:highlight w:val="none"/>
        </w:rPr>
        <w:t>内置DC电源接口，可车载充电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</w:p>
    <w:p w14:paraId="0A9783AB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具备3/5导心电，阻抗呼吸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</w:rPr>
        <w:t>血氧、无创血压、2通道体温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highlight w:val="none"/>
        </w:rPr>
        <w:t>通道体温测量差值显示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</w:p>
    <w:p w14:paraId="632282F4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支持2通道有创血压及模拟输出/除颤同步。 </w:t>
      </w:r>
    </w:p>
    <w:p w14:paraId="4AC80612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可拓展</w:t>
      </w:r>
      <w:r>
        <w:rPr>
          <w:rFonts w:hint="eastAsia" w:ascii="仿宋" w:hAnsi="仿宋" w:eastAsia="仿宋" w:cs="仿宋"/>
          <w:sz w:val="24"/>
          <w:highlight w:val="none"/>
        </w:rPr>
        <w:t>外置2通道IBP有创血压监测模块，主机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可</w:t>
      </w:r>
      <w:r>
        <w:rPr>
          <w:rFonts w:hint="eastAsia" w:ascii="仿宋" w:hAnsi="仿宋" w:eastAsia="仿宋" w:cs="仿宋"/>
          <w:sz w:val="24"/>
          <w:highlight w:val="none"/>
        </w:rPr>
        <w:t>支持4通道IBP有创压力监测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。</w:t>
      </w:r>
    </w:p>
    <w:p w14:paraId="04777F7B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提供麻醉平衡软件工具，数字化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指标显示病人镇静、镇痛、肌松三方面麻醉状态，自动提示病人三低状态并予以计时，图形化显示病人脑状态，可进行Aldrete复苏评分，满足临床对病人复苏拔管的评估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76811BE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转运监护仪支持插入床旁监护仪插槽作为参数模块使用，即插即用。</w:t>
      </w:r>
    </w:p>
    <w:p w14:paraId="19C6D2A1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采用</w:t>
      </w:r>
      <w:r>
        <w:rPr>
          <w:rFonts w:hint="eastAsia" w:ascii="仿宋" w:hAnsi="仿宋" w:eastAsia="仿宋" w:cs="仿宋"/>
          <w:sz w:val="24"/>
          <w:highlight w:val="none"/>
        </w:rPr>
        <w:t>多导心电监护算法，同步分析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4通道心电波形。</w:t>
      </w:r>
    </w:p>
    <w:p w14:paraId="4BDA4EE7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心率测量范围：成人15-300 bpm，小儿/新生儿15-350 bpm。</w:t>
      </w:r>
    </w:p>
    <w:p w14:paraId="001ABC13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波速提供50mm/s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</w:rPr>
        <w:t>25 mm/s、12.5 mm/s、6.25 mm/s可选。</w:t>
      </w:r>
    </w:p>
    <w:p w14:paraId="44745AB6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滤波模式提供诊断模式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</w:rPr>
        <w:t>监护模式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</w:rPr>
        <w:t>ST模式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highlight w:val="none"/>
        </w:rPr>
        <w:t>手术模式。</w:t>
      </w:r>
    </w:p>
    <w:p w14:paraId="0D9DED27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具备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房颤及室上性心律失常分析功能，如：室上性心动过速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SVCs/min等，支持≥25种实时心律失常分析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</w:p>
    <w:p w14:paraId="6D2A3A69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提供ST段分析，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提供</w:t>
      </w:r>
      <w:r>
        <w:rPr>
          <w:rFonts w:hint="eastAsia" w:ascii="仿宋" w:hAnsi="仿宋" w:eastAsia="仿宋" w:cs="仿宋"/>
          <w:sz w:val="24"/>
          <w:highlight w:val="none"/>
        </w:rPr>
        <w:t>显示和存储ST值和每个ST的模板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</w:p>
    <w:p w14:paraId="1625A648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具有QT/QTc测量功能，提供QT，QTc和ΔQTc参数值。</w:t>
      </w:r>
    </w:p>
    <w:p w14:paraId="2DF1A84A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可显示弱灌注指数（PI）。</w:t>
      </w:r>
    </w:p>
    <w:p w14:paraId="644BE822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提供手动、自动间隔、连续、序列四种无创血压测量模式。</w:t>
      </w:r>
    </w:p>
    <w:p w14:paraId="706B31E9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IBP测量范围：-50 – 360 mmHg，支持实时PPV测量</w:t>
      </w:r>
      <w:r>
        <w:rPr>
          <w:rFonts w:hint="eastAsia" w:ascii="仿宋" w:hAnsi="仿宋" w:eastAsia="仿宋" w:cs="仿宋"/>
          <w:kern w:val="0"/>
          <w:sz w:val="24"/>
          <w:highlight w:val="none"/>
        </w:rPr>
        <w:t>。</w:t>
      </w:r>
    </w:p>
    <w:p w14:paraId="05CFCD6E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800条事件回顾。每条报警事件至少能够存储32秒三道相关波形，以及报警触发时所有测量参数值。</w:t>
      </w:r>
    </w:p>
    <w:p w14:paraId="38B3B3A7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800条NIBP测量结果回顾。</w:t>
      </w:r>
    </w:p>
    <w:p w14:paraId="5F7B76A0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40小时全息波形回顾。</w:t>
      </w:r>
    </w:p>
    <w:p w14:paraId="2A49F98A">
      <w:pPr>
        <w:pStyle w:val="30"/>
        <w:numPr>
          <w:ilvl w:val="0"/>
          <w:numId w:val="3"/>
        </w:numPr>
        <w:spacing w:line="360" w:lineRule="auto"/>
        <w:ind w:firstLineChars="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kern w:val="0"/>
          <w:sz w:val="24"/>
          <w:highlight w:val="none"/>
        </w:rPr>
        <w:t>≥</w:t>
      </w:r>
      <w:r>
        <w:rPr>
          <w:rFonts w:hint="eastAsia" w:ascii="仿宋" w:hAnsi="仿宋" w:eastAsia="仿宋" w:cs="仿宋"/>
          <w:sz w:val="24"/>
          <w:highlight w:val="none"/>
        </w:rPr>
        <w:t>100小时趋势数据回顾。</w:t>
      </w:r>
    </w:p>
    <w:p w14:paraId="4AC3F67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highlight w:val="none"/>
          <w:lang w:val="en-US" w:eastAsia="zh-CN"/>
        </w:rPr>
      </w:pPr>
    </w:p>
    <w:p w14:paraId="18B4D82D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病人监护仪</w:t>
      </w:r>
    </w:p>
    <w:p w14:paraId="7FF944CA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▲≥10寸彩色液晶触摸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电容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屏，分辨率≥1024*600，≥8通道波形显示。</w:t>
      </w:r>
    </w:p>
    <w:p w14:paraId="355D3C72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标配锂电池，工作时间≥4.5小时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2C2F6E92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▲安全规格：ECG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TEMP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SpO2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NIBP监测参数抗电击程度为防除颤CF型。</w:t>
      </w:r>
    </w:p>
    <w:p w14:paraId="6B8D2D60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监护仪设计使用年限≥10年。</w:t>
      </w:r>
    </w:p>
    <w:p w14:paraId="28FEA74F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主机防水等级≥IPX1，支持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至少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0.75米抗跌落。</w:t>
      </w:r>
    </w:p>
    <w:p w14:paraId="389A251D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标准配置可监测心电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呼吸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无创血压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血氧饱和度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脉搏和体温，适用于成人、小儿和新生儿。</w:t>
      </w:r>
    </w:p>
    <w:p w14:paraId="0C7A28E5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▲采用ECG多导同步分析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0721616E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心率监测范围：成人10～300bpm，小儿/新生儿：10～350bpm。</w:t>
      </w:r>
    </w:p>
    <w:p w14:paraId="1BBF9059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▲提供过去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24小时心电概览报告查看与打印，包括心率统计结果，起搏统计结果，心律失常统计结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果，ST统计和QT/QTc统计结果。</w:t>
      </w:r>
    </w:p>
    <w:p w14:paraId="36164523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提供SpO2和PR的实时监测，适用于成人，小儿和新生儿。来自SpO2的PR测量范围：20-300。</w:t>
      </w:r>
    </w:p>
    <w:p w14:paraId="7008C7AA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采用抗干扰和弱灌注血氧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保证血氧监护的优异性。</w:t>
      </w:r>
    </w:p>
    <w:p w14:paraId="2C6502D3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配置无创血压测量，适用于成人，小儿和新生儿。无创血压成人测量范围：收缩压25~290mmH。</w:t>
      </w:r>
    </w:p>
    <w:p w14:paraId="3CA5EB76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提供动态血压分析界面，包括平均血压、白天平均血压、夜间平均血压、最高血压、最低血压和正常血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压比例等，直观快速了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解过去24小时患者血压变化和分布情况。</w:t>
      </w:r>
    </w:p>
    <w:p w14:paraId="2C179BD8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提供呼吸测量，适用于成人、小儿和新生儿。呼吸测量范围：1-200 rpm。</w:t>
      </w:r>
    </w:p>
    <w:p w14:paraId="4C33D100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支持所有监测参数</w:t>
      </w:r>
      <w:bookmarkStart w:id="0" w:name="OLE_LINK1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报警</w:t>
      </w:r>
      <w:bookmarkEnd w:id="0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限一键自动设置功能。</w:t>
      </w:r>
    </w:p>
    <w:p w14:paraId="1CAF6035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▲具有图形化技术报警指示功能，帮助医护团队快速识别报警来源。</w:t>
      </w:r>
    </w:p>
    <w:p w14:paraId="31B0E1AB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支持USB外部存储，支持≥2400小时趋势数据的存储与回顾功能，支持≥5000组无创血压测量记录，≥120小时全息波形的存储与回顾功能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3314330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可升级临床评分系统，包括MEWS（改良早期预警评分）、NEWS（英国早期预警评分系统）、NEWS2（英国早期预警评分系统2），可支持定时自动EWS评分功能。</w:t>
      </w:r>
    </w:p>
    <w:p w14:paraId="099567AC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▲支持格拉斯哥昏迷评分（GCS）功能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2C38027A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动态趋势界面可支持统计1-24小时心律失常报警、参数超限报警信息，并对超限报警区间的波形进行高亮显示。</w:t>
      </w:r>
    </w:p>
    <w:p w14:paraId="43CEF49E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▲支持带ABD事件的呼吸氧合界面。</w:t>
      </w:r>
    </w:p>
    <w:p w14:paraId="0D75BC25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支持RJ45接口进行有线网络通信，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和除颤监护仪一起联网通信到中心监护系统。</w:t>
      </w:r>
    </w:p>
    <w:p w14:paraId="4B6D2F91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▲主机集成附件收纳箱，支持将心电、血氧和无创血压等导联线附件进行收纳放置。</w:t>
      </w:r>
    </w:p>
    <w:p w14:paraId="019D12F4">
      <w:pPr>
        <w:pStyle w:val="30"/>
        <w:numPr>
          <w:ilvl w:val="0"/>
          <w:numId w:val="4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支持它床观察，可同时监视≥1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它床的报警信息。</w:t>
      </w:r>
    </w:p>
    <w:p w14:paraId="2FC9F8C3">
      <w:pPr>
        <w:pStyle w:val="30"/>
        <w:numPr>
          <w:ilvl w:val="1"/>
          <w:numId w:val="0"/>
        </w:numPr>
        <w:spacing w:line="276" w:lineRule="auto"/>
        <w:ind w:right="-512" w:rightChars="-244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25.获得三类医疗器械注册证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2D9E0D6">
      <w:pPr>
        <w:keepNext w:val="0"/>
        <w:keepLines w:val="0"/>
        <w:pageBreakBefore w:val="0"/>
        <w:widowControl w:val="0"/>
        <w:numPr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" w:hAnsi="仿宋" w:eastAsia="仿宋" w:cs="仿宋"/>
          <w:sz w:val="24"/>
          <w:highlight w:val="none"/>
          <w:lang w:val="en-US" w:eastAsia="zh-CN"/>
        </w:rPr>
      </w:pP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BBBA8">
    <w:pPr>
      <w:pStyle w:val="14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41A689">
                          <w:pPr>
                            <w:pStyle w:val="1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1A689">
                    <w:pPr>
                      <w:pStyle w:val="1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212D1D"/>
    <w:multiLevelType w:val="multilevel"/>
    <w:tmpl w:val="30212D1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0"/>
      <w:numFmt w:val="bullet"/>
      <w:lvlText w:val="★"/>
      <w:lvlJc w:val="left"/>
      <w:pPr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5448FA"/>
    <w:multiLevelType w:val="multilevel"/>
    <w:tmpl w:val="3F5448FA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479D2061"/>
    <w:multiLevelType w:val="multilevel"/>
    <w:tmpl w:val="479D206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8DAC7F2"/>
    <w:multiLevelType w:val="singleLevel"/>
    <w:tmpl w:val="68DAC7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1C074B"/>
    <w:rsid w:val="01A73E3E"/>
    <w:rsid w:val="01DF79C5"/>
    <w:rsid w:val="025F570A"/>
    <w:rsid w:val="043B4722"/>
    <w:rsid w:val="06D828B8"/>
    <w:rsid w:val="08350331"/>
    <w:rsid w:val="10FE7724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1CD97604"/>
    <w:rsid w:val="1E4F0975"/>
    <w:rsid w:val="225D40C8"/>
    <w:rsid w:val="22AD4B1E"/>
    <w:rsid w:val="24843B47"/>
    <w:rsid w:val="269E2E55"/>
    <w:rsid w:val="274F33D8"/>
    <w:rsid w:val="276729D6"/>
    <w:rsid w:val="294D0113"/>
    <w:rsid w:val="2ACD4D2F"/>
    <w:rsid w:val="2BF134B5"/>
    <w:rsid w:val="2DB96D85"/>
    <w:rsid w:val="2E1717CC"/>
    <w:rsid w:val="30AE31E7"/>
    <w:rsid w:val="321317B8"/>
    <w:rsid w:val="32CE3F9C"/>
    <w:rsid w:val="356F7594"/>
    <w:rsid w:val="35713FB2"/>
    <w:rsid w:val="36ED77C2"/>
    <w:rsid w:val="37672764"/>
    <w:rsid w:val="38AE6CF4"/>
    <w:rsid w:val="39EA38C0"/>
    <w:rsid w:val="3A9B3516"/>
    <w:rsid w:val="3AF33083"/>
    <w:rsid w:val="3F051B12"/>
    <w:rsid w:val="3F7D2E41"/>
    <w:rsid w:val="43400A05"/>
    <w:rsid w:val="4A6465D6"/>
    <w:rsid w:val="4D5560B7"/>
    <w:rsid w:val="4D7F0CE1"/>
    <w:rsid w:val="4F480490"/>
    <w:rsid w:val="509E696F"/>
    <w:rsid w:val="534515DA"/>
    <w:rsid w:val="54FE5192"/>
    <w:rsid w:val="55803D02"/>
    <w:rsid w:val="5616256E"/>
    <w:rsid w:val="56E302F9"/>
    <w:rsid w:val="5788135B"/>
    <w:rsid w:val="5B41642F"/>
    <w:rsid w:val="5DE51E64"/>
    <w:rsid w:val="61AE1513"/>
    <w:rsid w:val="61E64CC6"/>
    <w:rsid w:val="63932AA2"/>
    <w:rsid w:val="64FE03C4"/>
    <w:rsid w:val="652547C9"/>
    <w:rsid w:val="667810DB"/>
    <w:rsid w:val="668A26BB"/>
    <w:rsid w:val="6A442DF7"/>
    <w:rsid w:val="6AA30D25"/>
    <w:rsid w:val="6B7F15D9"/>
    <w:rsid w:val="6DB177C1"/>
    <w:rsid w:val="71500A63"/>
    <w:rsid w:val="72754ECE"/>
    <w:rsid w:val="76387527"/>
    <w:rsid w:val="788453ED"/>
    <w:rsid w:val="792B652D"/>
    <w:rsid w:val="7D211AF5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2"/>
    <w:unhideWhenUsed/>
    <w:qFormat/>
    <w:uiPriority w:val="99"/>
    <w:pPr>
      <w:jc w:val="left"/>
    </w:pPr>
  </w:style>
  <w:style w:type="paragraph" w:styleId="12">
    <w:name w:val="Body Text Indent"/>
    <w:basedOn w:val="1"/>
    <w:qFormat/>
    <w:uiPriority w:val="0"/>
    <w:pPr>
      <w:spacing w:line="600" w:lineRule="auto"/>
      <w:ind w:left="540" w:leftChars="257"/>
    </w:pPr>
    <w:rPr>
      <w:rFonts w:ascii="Times New Roman" w:hAnsi="Times New Roman" w:eastAsia="宋体" w:cs="Times New Roman"/>
      <w:sz w:val="30"/>
      <w:szCs w:val="20"/>
    </w:rPr>
  </w:style>
  <w:style w:type="paragraph" w:styleId="13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note text"/>
    <w:basedOn w:val="1"/>
    <w:link w:val="31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annotation subject"/>
    <w:basedOn w:val="11"/>
    <w:next w:val="11"/>
    <w:link w:val="33"/>
    <w:unhideWhenUsed/>
    <w:qFormat/>
    <w:uiPriority w:val="99"/>
    <w:rPr>
      <w:b/>
      <w:bCs/>
    </w:rPr>
  </w:style>
  <w:style w:type="paragraph" w:styleId="20">
    <w:name w:val="Body Text First Indent 2"/>
    <w:basedOn w:val="12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table" w:styleId="22">
    <w:name w:val="Table Grid"/>
    <w:basedOn w:val="21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3"/>
    <w:qFormat/>
    <w:uiPriority w:val="99"/>
    <w:rPr>
      <w:rFonts w:cs="Times New Roman"/>
      <w:sz w:val="21"/>
    </w:rPr>
  </w:style>
  <w:style w:type="paragraph" w:customStyle="1" w:styleId="27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8">
    <w:name w:val="页眉 字符"/>
    <w:basedOn w:val="23"/>
    <w:link w:val="15"/>
    <w:qFormat/>
    <w:uiPriority w:val="99"/>
    <w:rPr>
      <w:sz w:val="18"/>
      <w:szCs w:val="18"/>
    </w:rPr>
  </w:style>
  <w:style w:type="character" w:customStyle="1" w:styleId="29">
    <w:name w:val="页脚 字符"/>
    <w:basedOn w:val="23"/>
    <w:link w:val="14"/>
    <w:qFormat/>
    <w:uiPriority w:val="99"/>
    <w:rPr>
      <w:sz w:val="18"/>
      <w:szCs w:val="18"/>
    </w:rPr>
  </w:style>
  <w:style w:type="paragraph" w:customStyle="1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脚注文本 字符"/>
    <w:basedOn w:val="23"/>
    <w:link w:val="16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2">
    <w:name w:val="批注文字 字符"/>
    <w:basedOn w:val="23"/>
    <w:link w:val="11"/>
    <w:qFormat/>
    <w:uiPriority w:val="99"/>
    <w:rPr>
      <w:rFonts w:ascii="Calibri" w:hAnsi="Calibri" w:eastAsia="宋体" w:cs="Times New Roman"/>
    </w:rPr>
  </w:style>
  <w:style w:type="character" w:customStyle="1" w:styleId="33">
    <w:name w:val="批注主题 字符"/>
    <w:basedOn w:val="32"/>
    <w:link w:val="19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4">
    <w:name w:val="批注框文本 字符"/>
    <w:basedOn w:val="23"/>
    <w:link w:val="1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5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6">
    <w:name w:val="标题 2 字符"/>
    <w:basedOn w:val="23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7">
    <w:name w:val="标题 3 字符"/>
    <w:basedOn w:val="23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8">
    <w:name w:val="标题 1 字符"/>
    <w:basedOn w:val="23"/>
    <w:link w:val="2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39">
    <w:name w:val="标题 4 字符"/>
    <w:basedOn w:val="23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0">
    <w:name w:val="标题 5 字符"/>
    <w:basedOn w:val="23"/>
    <w:link w:val="6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1">
    <w:name w:val="标题 6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2">
    <w:name w:val="标题 7 字符"/>
    <w:basedOn w:val="23"/>
    <w:link w:val="8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3">
    <w:name w:val="标题 8 字符"/>
    <w:basedOn w:val="23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4">
    <w:name w:val="标题 9 字符"/>
    <w:basedOn w:val="23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5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6">
    <w:name w:val="NormalCharacter"/>
    <w:qFormat/>
    <w:uiPriority w:val="0"/>
  </w:style>
  <w:style w:type="paragraph" w:customStyle="1" w:styleId="47">
    <w:name w:val="p15"/>
    <w:basedOn w:val="1"/>
    <w:qFormat/>
    <w:uiPriority w:val="0"/>
    <w:pPr>
      <w:snapToGrid/>
      <w:spacing w:after="0"/>
    </w:pPr>
    <w:rPr>
      <w:rFonts w:ascii="Arial Unicode MS" w:hAnsi="Arial Unicode MS" w:eastAsia="宋体" w:cs="宋体"/>
      <w:color w:val="000000"/>
      <w:sz w:val="24"/>
      <w:szCs w:val="24"/>
    </w:rPr>
  </w:style>
  <w:style w:type="paragraph" w:customStyle="1" w:styleId="4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579</Words>
  <Characters>654</Characters>
  <Lines>26</Lines>
  <Paragraphs>7</Paragraphs>
  <TotalTime>0</TotalTime>
  <ScaleCrop>false</ScaleCrop>
  <LinksUpToDate>false</LinksUpToDate>
  <CharactersWithSpaces>655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田田胖子</cp:lastModifiedBy>
  <dcterms:modified xsi:type="dcterms:W3CDTF">2025-09-26T15:47:15Z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F070537B9000451C81A1408CC7ABB207_13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