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rPr>
          <w:rFonts w:hint="eastAsia"/>
          <w:b/>
          <w:sz w:val="36"/>
          <w:szCs w:val="36"/>
        </w:rPr>
      </w:pPr>
      <w:r>
        <w:rPr>
          <w:rFonts w:hint="eastAsia"/>
          <w:b/>
          <w:sz w:val="36"/>
          <w:szCs w:val="36"/>
        </w:rPr>
        <w:t>附件</w:t>
      </w:r>
    </w:p>
    <w:p>
      <w:pPr>
        <w:tabs>
          <w:tab w:val="left" w:pos="720"/>
        </w:tabs>
        <w:jc w:val="center"/>
        <w:rPr>
          <w:rFonts w:hint="eastAsia"/>
          <w:b/>
          <w:sz w:val="36"/>
          <w:szCs w:val="36"/>
        </w:rPr>
      </w:pPr>
      <w:r>
        <w:rPr>
          <w:rFonts w:hint="eastAsia"/>
          <w:b/>
          <w:sz w:val="36"/>
          <w:szCs w:val="36"/>
        </w:rPr>
        <w:t>特殊</w:t>
      </w:r>
      <w:r>
        <w:rPr>
          <w:rFonts w:hint="eastAsia"/>
          <w:b/>
          <w:sz w:val="36"/>
          <w:szCs w:val="36"/>
          <w:lang w:eastAsia="zh-CN"/>
        </w:rPr>
        <w:t>医学用途配方</w:t>
      </w:r>
      <w:r>
        <w:rPr>
          <w:rFonts w:hint="eastAsia"/>
          <w:b/>
          <w:sz w:val="36"/>
          <w:szCs w:val="36"/>
        </w:rPr>
        <w:t>食品</w:t>
      </w:r>
      <w:bookmarkStart w:id="0" w:name="_GoBack"/>
      <w:bookmarkEnd w:id="0"/>
    </w:p>
    <w:p>
      <w:pPr>
        <w:pStyle w:val="2"/>
        <w:keepNext w:val="0"/>
        <w:keepLines w:val="0"/>
        <w:pageBreakBefore w:val="0"/>
        <w:widowControl/>
        <w:kinsoku/>
        <w:wordWrap/>
        <w:overflowPunct/>
        <w:topLinePunct w:val="0"/>
        <w:autoSpaceDE/>
        <w:autoSpaceDN/>
        <w:bidi w:val="0"/>
        <w:adjustRightInd w:val="0"/>
        <w:snapToGrid w:val="0"/>
        <w:spacing w:line="360" w:lineRule="auto"/>
        <w:ind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一、总体要求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投标产品须为取得国家市场监督管理总局特殊医学用途配方食品注册证书的合法产品，注册证书在有效期内，产品类别、适用人群与注册信息完全一致，严禁提供未注册、注册过期或类别不符的产品。</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生产企业须具备《食品生产许可证》，生产范围涵盖所投特殊医学用途配方食品，生产过程符合GB 29923-2023规范要求，具备完善的质量管控体系。</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产品须提供近一年内第三方权威机构出具的全项目检验报告，各项指标符合国家标准及本文件要求，微生物、重金属、污染物等安全指标达标，无不合格项。</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产品标签、说明书须严格符合国家规范，清晰标注产品名称、类别、注册证号、适用人群、营养成分表、配料表、食用方法、禁忌提示、生产厂家、生产日期、保质期等信息，醒目位置标注“请在医生或临床营养师指导下使用”“禁止用于肠外营养支持和静脉注射”警示语。</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二、各类产品具体技术参数要求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（一）成人全营养配方食品</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适用人群：10岁以上进食受限、消化吸收功能正常、需单一营养支持的成人患者，涵盖术后康复、慢性病营养补充、老年进食不足等人群。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核心营养指标：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能量：每100mL（液态）/100g（固态）≥295kJ（70kcal），能量密度适配成人日常营养需求；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蛋白质：含量≥0.7g/100kJ，优质蛋白质占比≥50%，氨基酸配比合理，易被人体吸收利用；</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脂肪：含不饱和脂肪酸，亚油酸供能比≥2.0%，α-亚麻酸供能比≥0.5%，无反式脂肪酸；</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碳水化合物：以复合碳水为主；</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维生素、矿物质：覆盖人体必需全部营养素，可作为单一营养来源。</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感官与理化：色泽均匀，滋味、气味正常，无异味、无异物，冲调性良好，无结块、分层；水分、酸度、渗透压等理化指标符合国家标准。</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剂型：可提供固态粉剂或液态制剂，包装密封完好，便于储存、携带与临床配制使用。</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（二）小儿全营养配方食品</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适用人群：1-10岁进食受限、消化吸收正常、需全面营养支持的患儿，适配儿科术后、生长发育迟缓、进食不足等患儿。</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核心营养指标：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能量：每100mL（液态）/100g（固态）≥250kJ（60kcal），适配小儿生长发育能量需求；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蛋白质：含量≥0.5g/100kJ，优质蛋白质占比≥50%，易消化、低过敏风险；</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脂肪酸：亚油酸供能比≥2.5%，α-亚麻酸供能比≥0.4%，助力小儿神经系统发育；</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维生素、矿物质：严格符合GB 29922-2013表1限量要求，强化钙、铁、锌、维生素D等生长发育必需营养素；</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可选择性添加牛磺酸、胆碱、核苷酸等成分，含量符合国家标准要求。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安全性：无蔗糖、无香精、无防腐剂，过敏原清晰标注，降低小儿食用过敏风险；剂型口感温和，适配小儿食用习惯。</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（三）短肽型全营养配方食品</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适用人群：消化吸收功能障碍、胃肠道功能受损患者，涵盖术后胃肠功能紊乱、重症、吸收不良综合征等人群。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核心营养指标：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蛋白质来源：全部为短肽（蛋白水解物），分子质量小，无需胃肠道复杂消化，可直接被肠道吸收；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能量：适配临床营养需求，营养全面，可作为单一营养来源；</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脂肪：采用中链甘油三酯（MCT）为主，占比≥50%，无需脂类消化，快速供能、减轻胃肠负担；</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低渗透压、低残渣，减少胃肠道刺激，适配胃肠功能脆弱患者；</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维生素、矿物质配比合理，符合全营养配方食品国家标准，满足患者基础营养需求。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临床适配性：冲调后溶解性好，无沉淀，适合管饲、口服食用，无胃肠道不良反应。</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（四）糖尿病专用全营养配方食品</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适用人群：10岁以上需营养支持的糖尿病患者，血糖控制稳定、需单一营养补充的糖尿病合并慢性病患者。</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核心营养指标：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碳水化合物：低升糖指数（GI≤55），采用复合碳水化合物，限制精制糖添加，延缓血糖上升；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能量：配比均衡，避免能量过剩，适配糖尿病患者代谢特点；</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蛋白质：优质蛋白，含量适中，维持机体氮平衡，不加重代谢负担；</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脂肪：不饱和脂肪酸为主，限制饱和脂肪、反式脂肪，添加膳食纤维，改善糖脂代谢；</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钠、钾等电解质含量合理，无添加蔗糖、果糖、葡萄糖等精制糖类；</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符合国家特定全营养配方食品相关标准，不影响患者血糖稳定。</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安全性：无糖配方，营养成分稳定，长期食用不引发血糖大幅波动。</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（五）肾病专用全营养配方食品</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适用人群：肾功能不全、非透析肾病患者，需限制蛋白质、电解质摄入的肾病营养支持人群。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核心营养指标：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优质低蛋白：蛋白质含量精准可控，氨基酸配比优化，减轻肾脏代谢负担；</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低钠、低钾、低磷：严格限制钠、钾、磷含量，符合肾病患者电解质限制要求，避免加重肾脏损伤；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能量充足：以碳水化合物、适量优质脂肪为主，保证机体能量供给，减少自身蛋白分解；</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维生素、微量元素配比适配肾病患者代谢特点，避免过量蓄积；</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符合肾病特定全营养配方食品国家标准，临床营养治疗适配性强。</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（六）肿瘤专用全营养配方食品</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适用人群：10岁及以上肿瘤患者，尤其适用于放化疗/围手术期、食欲差、进食受限、消化吸收障碍、代谢紊乱及存在营养不良风险或恶液质的肿瘤人群。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核心营养指标：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能量：能量密度≥1.2 kcal/mL（液态）或≥1.2 kcal/g（固态），高能量密度适配高代谢需求 。</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蛋白质：≥4.0 g/100 kcal；100%优质蛋白（乳清蛋白、酪蛋白、大豆分离蛋白等），纠正负氮平衡、减少肌肉流失 。</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脂肪酸：脂肪供能比25%–50%；n‑3脂肪酸（EPA+DHA）供能比1%–6%，其中EPA≥50%；低碳水供能比30%–50%，适配肿瘤代谢特点。</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维生素、矿物质：全面强化，含抗氧化营养素（维生素C、E、β‑胡萝卜素、硒），适配肿瘤患者高氧化应激与免疫需求。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其它：可选含精氨酸、核苷酸、谷氨酰胺等免疫调节营养素；低乳糖、低渗透压，减少胃肠道不适。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安全性：国标GB 31662‑2025合规，特医食品注册管理；禁用人群：完全性肠梗阻、活动性出血、严重感染、高流量肠瘘、严重吸收障碍、无法控制的呕吐/腹泻；需在医生或临床营养师指导下使用。</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三、投标报价明细表</w:t>
      </w:r>
    </w:p>
    <w:tbl>
      <w:tblPr>
        <w:tblStyle w:val="5"/>
        <w:tblW w:w="8701" w:type="dxa"/>
        <w:tblInd w:w="91" w:type="dxa"/>
        <w:tblLayout w:type="fixed"/>
        <w:tblCellMar>
          <w:top w:w="0" w:type="dxa"/>
          <w:left w:w="108" w:type="dxa"/>
          <w:bottom w:w="0" w:type="dxa"/>
          <w:right w:w="108" w:type="dxa"/>
        </w:tblCellMar>
      </w:tblPr>
      <w:tblGrid>
        <w:gridCol w:w="720"/>
        <w:gridCol w:w="2535"/>
        <w:gridCol w:w="1560"/>
        <w:gridCol w:w="870"/>
        <w:gridCol w:w="750"/>
        <w:gridCol w:w="1086"/>
        <w:gridCol w:w="1180"/>
      </w:tblGrid>
      <w:tr>
        <w:tblPrEx>
          <w:tblCellMar>
            <w:top w:w="0" w:type="dxa"/>
            <w:left w:w="108" w:type="dxa"/>
            <w:bottom w:w="0" w:type="dxa"/>
            <w:right w:w="108" w:type="dxa"/>
          </w:tblCellMar>
        </w:tblPrEx>
        <w:trPr>
          <w:trHeight w:val="28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25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名称</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规格</w:t>
            </w:r>
          </w:p>
        </w:tc>
        <w:tc>
          <w:tcPr>
            <w:tcW w:w="8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剂型</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最高限价(元)</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投标报价（元）</w:t>
            </w: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特殊医学用途全营养配方食品(成人)</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30</w:t>
            </w:r>
            <w:r>
              <w:rPr>
                <w:rFonts w:hint="eastAsia" w:ascii="仿宋" w:hAnsi="仿宋" w:eastAsia="仿宋" w:cs="仿宋"/>
                <w:color w:val="000000"/>
                <w:kern w:val="0"/>
                <w:sz w:val="21"/>
                <w:szCs w:val="21"/>
              </w:rPr>
              <w:t>g*</w:t>
            </w:r>
            <w:r>
              <w:rPr>
                <w:rFonts w:hint="eastAsia" w:ascii="仿宋" w:hAnsi="仿宋" w:eastAsia="仿宋" w:cs="仿宋"/>
                <w:color w:val="000000"/>
                <w:kern w:val="0"/>
                <w:sz w:val="21"/>
                <w:szCs w:val="21"/>
                <w:lang w:val="en-US" w:eastAsia="zh-CN"/>
              </w:rPr>
              <w:t>12</w:t>
            </w:r>
            <w:r>
              <w:rPr>
                <w:rFonts w:hint="eastAsia" w:ascii="仿宋" w:hAnsi="仿宋" w:eastAsia="仿宋" w:cs="仿宋"/>
                <w:color w:val="000000"/>
                <w:kern w:val="0"/>
                <w:sz w:val="21"/>
                <w:szCs w:val="21"/>
              </w:rPr>
              <w:t>袋</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粉剂</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盒</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399</w:t>
            </w:r>
          </w:p>
        </w:tc>
        <w:tc>
          <w:tcPr>
            <w:tcW w:w="11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特殊医学用途全营养配方粉(儿童)</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30</w:t>
            </w:r>
            <w:r>
              <w:rPr>
                <w:rFonts w:hint="eastAsia" w:ascii="仿宋" w:hAnsi="仿宋" w:eastAsia="仿宋" w:cs="仿宋"/>
                <w:color w:val="000000"/>
                <w:kern w:val="0"/>
                <w:sz w:val="21"/>
                <w:szCs w:val="21"/>
              </w:rPr>
              <w:t>g*</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袋</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粉剂</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盒</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399</w:t>
            </w:r>
          </w:p>
        </w:tc>
        <w:tc>
          <w:tcPr>
            <w:tcW w:w="11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特殊医学用途全营养配方粉（短肽）</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30g/袋*8袋</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30g/袋*10袋</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30g/袋*12袋</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罐装：360g</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粉剂</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盒</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399</w:t>
            </w:r>
          </w:p>
        </w:tc>
        <w:tc>
          <w:tcPr>
            <w:tcW w:w="11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低糖复合蛋白营养粉</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（糖尿病专用）</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rPr>
              <w:t>g*</w:t>
            </w: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袋</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粉剂</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盒</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599</w:t>
            </w:r>
          </w:p>
          <w:p>
            <w:pPr>
              <w:widowControl/>
              <w:jc w:val="center"/>
              <w:rPr>
                <w:rFonts w:hint="eastAsia" w:ascii="仿宋" w:hAnsi="仿宋" w:eastAsia="仿宋" w:cs="仿宋"/>
                <w:color w:val="000000"/>
                <w:kern w:val="0"/>
                <w:sz w:val="21"/>
                <w:szCs w:val="21"/>
                <w:lang w:val="en-US" w:eastAsia="zh-CN"/>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复合营养粉固体饮料</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（肾病专用）</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rPr>
              <w:t>g*</w:t>
            </w: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袋</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粉剂</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盒</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599</w:t>
            </w:r>
          </w:p>
        </w:tc>
        <w:tc>
          <w:tcPr>
            <w:tcW w:w="11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复合蛋白植物脂肪营养粉</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（肿瘤科专用）</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rPr>
              <w:t>g*</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袋</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粉剂</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盒</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599</w:t>
            </w:r>
          </w:p>
        </w:tc>
        <w:tc>
          <w:tcPr>
            <w:tcW w:w="11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p>
        </w:tc>
        <w:tc>
          <w:tcPr>
            <w:tcW w:w="571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项汇总价最高限价</w:t>
            </w:r>
          </w:p>
        </w:tc>
        <w:tc>
          <w:tcPr>
            <w:tcW w:w="108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2994</w:t>
            </w:r>
          </w:p>
        </w:tc>
        <w:tc>
          <w:tcPr>
            <w:tcW w:w="11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color w:val="000000"/>
                <w:kern w:val="0"/>
                <w:sz w:val="21"/>
                <w:szCs w:val="21"/>
              </w:rPr>
            </w:pPr>
          </w:p>
        </w:tc>
      </w:tr>
    </w:tbl>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70" w:firstLineChars="100"/>
        <w:textAlignment w:val="auto"/>
        <w:rPr>
          <w:rFonts w:hint="eastAsia" w:ascii="仿宋_GB2312" w:hAnsi="仿宋_GB2312" w:eastAsia="宋体" w:cs="宋体"/>
          <w:b w:val="0"/>
          <w:bCs w:val="0"/>
          <w:color w:val="5A5A5A"/>
          <w:kern w:val="2"/>
          <w:sz w:val="27"/>
          <w:szCs w:val="27"/>
          <w:shd w:val="clear" w:color="auto" w:fill="FFFFFF"/>
          <w:lang w:val="en-US" w:eastAsia="zh-CN" w:bidi="ar-SA"/>
        </w:rPr>
      </w:pPr>
      <w:r>
        <w:rPr>
          <w:rFonts w:hint="eastAsia" w:ascii="仿宋_GB2312" w:hAnsi="仿宋_GB2312" w:eastAsia="宋体" w:cs="宋体"/>
          <w:b w:val="0"/>
          <w:bCs w:val="0"/>
          <w:color w:val="5A5A5A"/>
          <w:kern w:val="2"/>
          <w:sz w:val="27"/>
          <w:szCs w:val="27"/>
          <w:shd w:val="clear" w:color="auto" w:fill="FFFFFF"/>
          <w:lang w:val="en-US" w:eastAsia="zh-CN" w:bidi="ar-SA"/>
        </w:rPr>
        <w:t>说明：1.投标人按清单6个项目进行报价，高于该表总价最高投标限价的，或者清单项目单项高于投标限价的，该投标报价为无效投标。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40" w:firstLineChars="200"/>
        <w:textAlignment w:val="auto"/>
        <w:rPr>
          <w:rFonts w:hint="eastAsia" w:eastAsia="宋体"/>
          <w:lang w:val="en-US" w:eastAsia="zh-CN"/>
        </w:rPr>
      </w:pPr>
      <w:r>
        <w:rPr>
          <w:rFonts w:hint="eastAsia" w:ascii="仿宋_GB2312" w:hAnsi="仿宋_GB2312" w:eastAsia="宋体" w:cs="宋体"/>
          <w:b w:val="0"/>
          <w:bCs w:val="0"/>
          <w:color w:val="5A5A5A"/>
          <w:kern w:val="2"/>
          <w:sz w:val="27"/>
          <w:szCs w:val="27"/>
          <w:shd w:val="clear" w:color="auto" w:fill="FFFFFF"/>
          <w:lang w:val="en-US" w:eastAsia="zh-CN" w:bidi="ar-SA"/>
        </w:rPr>
        <w:t>2.投标单项均要满足食品内容和规格，且经营资质符合、本次投标只对以上6个品种进行报价。6个品类报价综合最低价中标。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ZGYwN2U3NjYxNWU4MWI1MTlhYmE0YTA0YWNkYjQifQ=="/>
  </w:docVars>
  <w:rsids>
    <w:rsidRoot w:val="2F944BA2"/>
    <w:rsid w:val="033F75FC"/>
    <w:rsid w:val="2C524E49"/>
    <w:rsid w:val="2F944BA2"/>
    <w:rsid w:val="33DF2DA8"/>
    <w:rsid w:val="343B1E3D"/>
    <w:rsid w:val="3D567AF8"/>
    <w:rsid w:val="434C7BC6"/>
    <w:rsid w:val="6BDE7808"/>
    <w:rsid w:val="7A214411"/>
    <w:rsid w:val="7B092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2026-05-19T07:28:00Z</dcterms:created>
  <dc:creator>Administrator</dc:creator>
  <cp:lastModifiedBy>Administrator</cp:lastModifiedBy>
  <cp:lastPrinted>2026-05-19T08:04:00Z</cp:lastPrinted>
  <dcterms:modified xsi:type="dcterms:W3CDTF">2026-05-19T08:47:11Z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7BF373C3F9D446D6B39ADCB3A2D3C25A</vt:lpwstr>
  </property>
</Properties>
</file>