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仿宋_GB2312" w:hAnsi="仿宋_GB2312" w:eastAsia="仿宋_GB2312" w:cs="仿宋_GB2312"/>
          <w:b/>
          <w:color w:val="auto"/>
          <w:spacing w:val="0"/>
          <w:kern w:val="2"/>
          <w:sz w:val="36"/>
          <w:szCs w:val="36"/>
          <w:highlight w:val="none"/>
          <w:lang w:val="en-US" w:eastAsia="zh-CN" w:bidi="ar-SA"/>
        </w:rPr>
      </w:pPr>
      <w:r>
        <w:rPr>
          <w:rFonts w:hint="eastAsia" w:ascii="仿宋_GB2312" w:hAnsi="仿宋_GB2312" w:eastAsia="仿宋_GB2312" w:cs="仿宋_GB2312"/>
          <w:b/>
          <w:color w:val="auto"/>
          <w:spacing w:val="0"/>
          <w:kern w:val="2"/>
          <w:sz w:val="36"/>
          <w:szCs w:val="36"/>
          <w:highlight w:val="none"/>
          <w:lang w:val="en-US" w:eastAsia="zh-CN" w:bidi="ar-SA"/>
        </w:rPr>
        <w:t>资格性符合性检查对照表</w:t>
      </w:r>
    </w:p>
    <w:p>
      <w:pPr>
        <w:pStyle w:val="6"/>
        <w:jc w:val="center"/>
        <w:rPr>
          <w:rFonts w:hint="eastAsia" w:ascii="仿宋_GB2312" w:hAnsi="仿宋_GB2312" w:eastAsia="仿宋_GB2312" w:cs="仿宋_GB2312"/>
          <w:b/>
          <w:bCs w:val="0"/>
          <w:color w:val="auto"/>
          <w:highlight w:val="none"/>
          <w:lang w:val="en-US" w:eastAsia="zh-CN"/>
        </w:rPr>
      </w:pPr>
    </w:p>
    <w:tbl>
      <w:tblPr>
        <w:tblStyle w:val="7"/>
        <w:tblW w:w="820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962"/>
        <w:gridCol w:w="2191"/>
        <w:gridCol w:w="43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62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检查内容</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资</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格</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营业执照</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具备合法有效的营业执照或事业单位法定代表人证书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提供2022年年度财务审计报告的扫描件或银行出具的资信证明或专业担保机构对中小型供应商进行资信审查后出具的投标担保函（本年度新成立公司提供投标截止时间前一个月财务状况报告原件的扫描件）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188"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有依法缴纳税收和社会保障金的良好记录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2023年1月至今有任意3个月企业纳税证明（纳税凭证或银行回执扫描件）；2023年1月至今有任意3个月企业为员工缴纳社会保障资金证明等（缴纳凭证或银行回执扫描件或社保部门出具证明）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0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具备履行合同所必需的专业技术能力的证明材料</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提供书面声明或相关证明材料（格式自拟）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52"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法定代表人或授权代表资格</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有法定代表人资格证明或法定代表人授权委托书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90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信用记录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通过“信用中国”网站、“中国政府采购网”等渠道查询的主体信用记录 ，未被列入信用记录失信被执行人、重大税收违法案件当事人名单、政府采购严重违法失信行为记录名单。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无重大违法记录的书面声明</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提供书面声明（3年内经营活动中没有重大违法记录）</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2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中小微企业声明函</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提供中小企业声明函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5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78" w:line="185" w:lineRule="auto"/>
              <w:ind w:firstLine="9"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val="en-US" w:eastAsia="zh-CN" w:bidi="ar"/>
              </w:rPr>
              <w:t>特定资格要求</w:t>
            </w:r>
          </w:p>
        </w:tc>
        <w:tc>
          <w:tcPr>
            <w:tcW w:w="4387" w:type="dxa"/>
            <w:tcBorders>
              <w:top w:val="outset" w:color="auto" w:sz="6" w:space="0"/>
              <w:left w:val="outset" w:color="auto" w:sz="6" w:space="0"/>
              <w:bottom w:val="outset" w:color="auto" w:sz="6" w:space="0"/>
              <w:right w:val="outset" w:color="auto" w:sz="6" w:space="0"/>
            </w:tcBorders>
            <w:noWrap w:val="0"/>
            <w:vAlign w:val="bottom"/>
          </w:tcPr>
          <w:p>
            <w:pPr>
              <w:keepNext w:val="0"/>
              <w:keepLines w:val="0"/>
              <w:widowControl/>
              <w:suppressLineNumbers w:val="0"/>
              <w:spacing w:before="35" w:line="220" w:lineRule="auto"/>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6"/>
                <w:sz w:val="24"/>
                <w:szCs w:val="24"/>
                <w:lang w:val="en-US" w:eastAsia="zh-CN"/>
              </w:rPr>
              <w:t>供应商所提供产品的生产日期应在中标日期3个月之内，并在20个工作日内将货物送到指定地址</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其他</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供应商须对其提供的材料真实性负责，并对此作出承诺，否则做无效文件处理</w:t>
            </w:r>
            <w:r>
              <w:rPr>
                <w:rFonts w:hint="eastAsia" w:ascii="仿宋_GB2312" w:hAnsi="仿宋_GB2312" w:eastAsia="仿宋_GB2312" w:cs="仿宋_GB2312"/>
                <w:color w:val="auto"/>
                <w:sz w:val="24"/>
                <w:szCs w:val="24"/>
                <w:highlight w:val="none"/>
                <w:lang w:eastAsia="zh-CN"/>
              </w:rPr>
              <w:t>（写承诺）</w:t>
            </w:r>
            <w:r>
              <w:rPr>
                <w:rFonts w:hint="eastAsia" w:ascii="仿宋_GB2312" w:hAnsi="仿宋_GB2312" w:eastAsia="仿宋_GB2312" w:cs="仿宋_GB2312"/>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合</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供应商名称是否与营业执照、资质证书等一致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响应文件签署</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按文件要求在规定区域加盖单位公章和法定代表人签字或印章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84"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供应商提供的</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“服务清单第一项”</w:t>
            </w:r>
            <w:r>
              <w:rPr>
                <w:rFonts w:hint="eastAsia" w:ascii="仿宋_GB2312" w:hAnsi="仿宋_GB2312" w:eastAsia="仿宋_GB2312" w:cs="仿宋_GB2312"/>
                <w:color w:val="auto"/>
                <w:sz w:val="24"/>
                <w:szCs w:val="24"/>
                <w:highlight w:val="none"/>
              </w:rPr>
              <w:t>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报价是否有效</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只有一个有效报价且未超过预算价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lang w:eastAsia="zh-CN"/>
              </w:rPr>
              <w:t>质保期</w:t>
            </w:r>
            <w:r>
              <w:rPr>
                <w:rFonts w:hint="eastAsia" w:ascii="仿宋_GB2312" w:hAnsi="仿宋_GB2312" w:eastAsia="仿宋_GB2312" w:cs="仿宋_GB2312"/>
                <w:color w:val="auto"/>
                <w:spacing w:val="-2"/>
                <w:sz w:val="24"/>
                <w:szCs w:val="24"/>
              </w:rPr>
              <w:t>、</w:t>
            </w:r>
            <w:r>
              <w:rPr>
                <w:rFonts w:hint="eastAsia" w:ascii="仿宋_GB2312" w:hAnsi="仿宋_GB2312" w:eastAsia="仿宋_GB2312" w:cs="仿宋_GB2312"/>
                <w:color w:val="auto"/>
                <w:spacing w:val="-3"/>
                <w:sz w:val="24"/>
                <w:szCs w:val="24"/>
              </w:rPr>
              <w:t>付款方式</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验收合格后保修一年，终身维护</w:t>
            </w:r>
          </w:p>
          <w:p>
            <w:pPr>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验收合格后首付</w:t>
            </w:r>
            <w:r>
              <w:rPr>
                <w:rFonts w:hint="eastAsia" w:ascii="仿宋_GB2312" w:hAnsi="仿宋_GB2312" w:eastAsia="仿宋_GB2312" w:cs="仿宋_GB2312"/>
                <w:color w:val="auto"/>
                <w:sz w:val="24"/>
                <w:szCs w:val="24"/>
                <w:highlight w:val="none"/>
                <w:lang w:val="en-US" w:eastAsia="zh-CN"/>
              </w:rPr>
              <w:t>90%，余款一年后付清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符合法律法规和文件规定的其它实质性要求</w:t>
            </w:r>
          </w:p>
        </w:tc>
      </w:tr>
    </w:tbl>
    <w:p>
      <w:pPr>
        <w:numPr>
          <w:ilvl w:val="0"/>
          <w:numId w:val="0"/>
        </w:numPr>
        <w:ind w:leftChars="0"/>
        <w:rPr>
          <w:rFonts w:hint="default" w:ascii="仿宋" w:hAnsi="仿宋" w:eastAsia="仿宋" w:cs="仿宋"/>
          <w:sz w:val="32"/>
          <w:szCs w:val="32"/>
          <w:lang w:val="en-US" w:eastAsia="zh-CN"/>
        </w:rPr>
      </w:pPr>
    </w:p>
    <w:p/>
    <w:p/>
    <w:p/>
    <w:p>
      <w:pPr>
        <w:widowControl/>
        <w:jc w:val="both"/>
        <w:textAlignment w:val="center"/>
        <w:rPr>
          <w:rStyle w:val="9"/>
          <w:rFonts w:hint="default"/>
        </w:rPr>
      </w:pPr>
      <w:bookmarkStart w:id="0" w:name="_GoBack"/>
      <w:bookmarkEnd w:id="0"/>
    </w:p>
    <w:tbl>
      <w:tblPr>
        <w:tblStyle w:val="7"/>
        <w:tblW w:w="8522" w:type="dxa"/>
        <w:tblInd w:w="0" w:type="dxa"/>
        <w:tblLayout w:type="fixed"/>
        <w:tblCellMar>
          <w:top w:w="0" w:type="dxa"/>
          <w:left w:w="108" w:type="dxa"/>
          <w:bottom w:w="0" w:type="dxa"/>
          <w:right w:w="108" w:type="dxa"/>
        </w:tblCellMar>
      </w:tblPr>
      <w:tblGrid>
        <w:gridCol w:w="1068"/>
        <w:gridCol w:w="1649"/>
        <w:gridCol w:w="1865"/>
        <w:gridCol w:w="1202"/>
        <w:gridCol w:w="776"/>
        <w:gridCol w:w="1962"/>
      </w:tblGrid>
      <w:tr>
        <w:tblPrEx>
          <w:tblLayout w:type="fixed"/>
          <w:tblCellMar>
            <w:top w:w="0" w:type="dxa"/>
            <w:left w:w="108" w:type="dxa"/>
            <w:bottom w:w="0" w:type="dxa"/>
            <w:right w:w="108" w:type="dxa"/>
          </w:tblCellMar>
        </w:tblPrEx>
        <w:trPr>
          <w:trHeight w:val="802"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Arial" w:hAnsi="Arial" w:eastAsia="宋体" w:cs="Arial"/>
                <w:b/>
                <w:bCs/>
                <w:color w:val="000000"/>
                <w:sz w:val="36"/>
                <w:szCs w:val="36"/>
              </w:rPr>
            </w:pPr>
            <w:r>
              <w:rPr>
                <w:rStyle w:val="9"/>
                <w:rFonts w:hint="default"/>
              </w:rPr>
              <w:t>立式灭菌器招标参数</w:t>
            </w:r>
          </w:p>
        </w:tc>
      </w:tr>
      <w:tr>
        <w:tblPrEx>
          <w:tblLayout w:type="fixed"/>
          <w:tblCellMar>
            <w:top w:w="0" w:type="dxa"/>
            <w:left w:w="108" w:type="dxa"/>
            <w:bottom w:w="0" w:type="dxa"/>
            <w:right w:w="108" w:type="dxa"/>
          </w:tblCellMar>
        </w:tblPrEx>
        <w:trPr>
          <w:trHeight w:val="402"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一：设备参数及配置</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技术要求</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1.1</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主体</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容积：</w:t>
            </w:r>
          </w:p>
        </w:tc>
        <w:tc>
          <w:tcPr>
            <w:tcW w:w="1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2"/>
                <w:szCs w:val="22"/>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80L</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材质：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06Cr19Ni10不锈钢</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★设计压力：</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-0.1～0.28MPa</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设计温度：</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142℃</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使用寿命：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8年（16000次灭菌循环）</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主体保温：</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10mm玻璃棉</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★测试接口：</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460"/>
              </w:tabs>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标准Rc1验证口，可特制其它尺寸测试接口</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1.2</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密封门</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门数量：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单门</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门板：</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拉伸门板，材料厚度≥2.5mm</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材质：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06Cr19Ni10不锈钢</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★开关门方式：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手动平移式密封门</w:t>
            </w:r>
          </w:p>
        </w:tc>
      </w:tr>
      <w:tr>
        <w:tblPrEx>
          <w:tblLayout w:type="fixed"/>
          <w:tblCellMar>
            <w:top w:w="0" w:type="dxa"/>
            <w:left w:w="108" w:type="dxa"/>
            <w:bottom w:w="0" w:type="dxa"/>
            <w:right w:w="108" w:type="dxa"/>
          </w:tblCellMar>
        </w:tblPrEx>
        <w:trPr>
          <w:trHeight w:val="705"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★安全联锁：</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压力安全联锁装置：门只有关闭到位，电源才能接通加热产生蒸汽；内室有压力，门无法打开</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门密封方式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自胀式密封胶圈，采用透明医用硅橡胶模压而成。</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门罩：</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采用玻璃钢高效隔热材料模具成型</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1.3</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管路系统</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控制阀门：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进口直动式电磁阀≥1个，质量稳定可靠，手动球阀≥1个</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Style w:val="10"/>
                <w:rFonts w:hint="default"/>
              </w:rPr>
              <w:t>1.3.2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蒸汽产生方式：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主体内加热，直接产生饱和蒸汽，无需外接蒸汽源</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Style w:val="10"/>
                <w:rFonts w:hint="default"/>
              </w:rPr>
              <w:t>1.3.3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★注水排水方式：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手动注水、手动排水</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Style w:val="10"/>
                <w:rFonts w:hint="default"/>
              </w:rPr>
              <w:t>1.3.5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冷凝装置</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内置蒸汽冷凝系统，灭菌结束后对内腔排出的水和蒸汽进行冷却处理，实现无蒸汽外排。</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Style w:val="10"/>
                <w:rFonts w:hint="default"/>
              </w:rPr>
              <w:t>1.3.6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★压力表：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量程：-0.1～0.5MPa  精度等级：1.6级以上</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1.4</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控制系统</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b/>
                <w:bCs/>
                <w:color w:val="000000"/>
                <w:sz w:val="22"/>
                <w:szCs w:val="22"/>
              </w:rPr>
            </w:pP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操作方式</w:t>
            </w:r>
          </w:p>
        </w:tc>
        <w:tc>
          <w:tcPr>
            <w:tcW w:w="1865" w:type="dxa"/>
            <w:tcBorders>
              <w:top w:val="single" w:color="000000" w:sz="4" w:space="0"/>
              <w:left w:val="nil"/>
              <w:bottom w:val="single" w:color="000000" w:sz="4" w:space="0"/>
              <w:right w:val="nil"/>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面板感应式操作；</w:t>
            </w:r>
          </w:p>
        </w:tc>
        <w:tc>
          <w:tcPr>
            <w:tcW w:w="1202" w:type="dxa"/>
            <w:tcBorders>
              <w:top w:val="single" w:color="000000" w:sz="4" w:space="0"/>
              <w:left w:val="nil"/>
              <w:bottom w:val="single" w:color="000000" w:sz="4" w:space="0"/>
              <w:right w:val="nil"/>
            </w:tcBorders>
            <w:shd w:val="clear" w:color="auto" w:fill="FFFFFF"/>
            <w:vAlign w:val="center"/>
          </w:tcPr>
          <w:p>
            <w:pPr>
              <w:jc w:val="left"/>
              <w:rPr>
                <w:rFonts w:ascii="宋体" w:hAnsi="宋体" w:eastAsia="宋体" w:cs="宋体"/>
                <w:b/>
                <w:bCs/>
                <w:color w:val="000000"/>
                <w:sz w:val="22"/>
                <w:szCs w:val="22"/>
              </w:rPr>
            </w:pPr>
          </w:p>
        </w:tc>
        <w:tc>
          <w:tcPr>
            <w:tcW w:w="776" w:type="dxa"/>
            <w:tcBorders>
              <w:top w:val="single" w:color="000000" w:sz="4" w:space="0"/>
              <w:left w:val="nil"/>
              <w:bottom w:val="single" w:color="000000" w:sz="4" w:space="0"/>
              <w:right w:val="nil"/>
            </w:tcBorders>
            <w:shd w:val="clear" w:color="auto" w:fill="FFFFFF"/>
            <w:vAlign w:val="center"/>
          </w:tcPr>
          <w:p>
            <w:pPr>
              <w:jc w:val="left"/>
              <w:rPr>
                <w:rFonts w:ascii="宋体" w:hAnsi="宋体" w:eastAsia="宋体" w:cs="宋体"/>
                <w:b/>
                <w:bCs/>
                <w:color w:val="000000"/>
                <w:sz w:val="22"/>
                <w:szCs w:val="22"/>
              </w:rPr>
            </w:pPr>
          </w:p>
        </w:tc>
        <w:tc>
          <w:tcPr>
            <w:tcW w:w="1962"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宋体" w:hAnsi="宋体" w:eastAsia="宋体" w:cs="宋体"/>
                <w:b/>
                <w:bCs/>
                <w:color w:val="000000"/>
                <w:sz w:val="22"/>
                <w:szCs w:val="22"/>
              </w:rPr>
            </w:pPr>
          </w:p>
        </w:tc>
      </w:tr>
      <w:tr>
        <w:tblPrEx>
          <w:tblLayout w:type="fixed"/>
          <w:tblCellMar>
            <w:top w:w="0" w:type="dxa"/>
            <w:left w:w="108" w:type="dxa"/>
            <w:bottom w:w="0" w:type="dxa"/>
            <w:right w:w="108" w:type="dxa"/>
          </w:tblCellMar>
        </w:tblPrEx>
        <w:trPr>
          <w:trHeight w:val="1755"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控制方式：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采用PLC控制,模块化设计的专用灭菌器控制器；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高度集成化的PLC，采用MASTER系列高速处理器芯片，可实现0.1～0.9μS/步的高速运算处理；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无线通讯功能：可以通过无线接收终端（选配）对设备进行监控和操作（启动、停止程序等），同时能够查看并记录设备的运行状态以及灭菌流程参数；</w:t>
            </w:r>
          </w:p>
        </w:tc>
      </w:tr>
      <w:tr>
        <w:tblPrEx>
          <w:tblLayout w:type="fixed"/>
          <w:tblCellMar>
            <w:top w:w="0" w:type="dxa"/>
            <w:left w:w="108" w:type="dxa"/>
            <w:bottom w:w="0" w:type="dxa"/>
            <w:right w:w="108" w:type="dxa"/>
          </w:tblCellMar>
        </w:tblPrEx>
        <w:trPr>
          <w:trHeight w:val="42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界面显示：</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液晶显示屏：160*160点阵3.2英寸液晶屏显示，显示温度、压力、报警信息、支持多语言切换、支持无线通讯功能；</w:t>
            </w:r>
          </w:p>
        </w:tc>
      </w:tr>
      <w:tr>
        <w:tblPrEx>
          <w:tblLayout w:type="fixed"/>
          <w:tblCellMar>
            <w:top w:w="0" w:type="dxa"/>
            <w:left w:w="108" w:type="dxa"/>
            <w:bottom w:w="0" w:type="dxa"/>
            <w:right w:w="108" w:type="dxa"/>
          </w:tblCellMar>
        </w:tblPrEx>
        <w:trPr>
          <w:trHeight w:val="42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流程控制：</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对于非液体程序，置换、脉动、升温、灭菌、排汽、全过程自动控制；</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周期计数器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六位数字显示，显示设备运行的周期次数；</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★延时启动功能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具有延时启动功能，可按设定时间自动运行，预约时间设定范围0～160小时</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★传感器故障自检及保护功能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设备自动检测传感器故障，并声光指示</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报警显示</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出现故障时，显示屏显示报警代码及报警信息，蜂鸣报警，可随时被消除</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★排汽模式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可设定排汽阀开启的温度和时间，具有快排、慢排、不排3种排汽方式，避免液体灭菌时液体的溢出</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1.4.9</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★排气模式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具有快排、慢排、不排3种排汽方式，避免液体灭菌时液体的溢出</w:t>
            </w:r>
          </w:p>
        </w:tc>
      </w:tr>
      <w:tr>
        <w:tblPrEx>
          <w:tblLayout w:type="fixed"/>
          <w:tblCellMar>
            <w:top w:w="0" w:type="dxa"/>
            <w:left w:w="108" w:type="dxa"/>
            <w:bottom w:w="0" w:type="dxa"/>
            <w:right w:w="108" w:type="dxa"/>
          </w:tblCellMar>
        </w:tblPrEx>
        <w:trPr>
          <w:trHeight w:val="105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1.4.10</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★保温功能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可根据需要设定保温功能，实现液体培养基灭菌、培养基灭菌-保温功能；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保温温度可设定范围40℃～134℃；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保温时间可设定范围0～160时</w:t>
            </w:r>
          </w:p>
        </w:tc>
      </w:tr>
      <w:tr>
        <w:tblPrEx>
          <w:tblLayout w:type="fixed"/>
          <w:tblCellMar>
            <w:top w:w="0" w:type="dxa"/>
            <w:left w:w="108" w:type="dxa"/>
            <w:bottom w:w="0" w:type="dxa"/>
            <w:right w:w="108" w:type="dxa"/>
          </w:tblCellMar>
        </w:tblPrEx>
        <w:trPr>
          <w:trHeight w:val="99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固体琼脂熔解功能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可通过调整参数，实现琼脂熔解、琼脂熔解-保温功能；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熔解温度可设定范围60～100℃；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熔解时间可设定范围0～9999分</w:t>
            </w:r>
          </w:p>
        </w:tc>
      </w:tr>
      <w:tr>
        <w:tblPrEx>
          <w:tblLayout w:type="fixed"/>
          <w:tblCellMar>
            <w:top w:w="0" w:type="dxa"/>
            <w:left w:w="108" w:type="dxa"/>
            <w:bottom w:w="0" w:type="dxa"/>
            <w:right w:w="108" w:type="dxa"/>
          </w:tblCellMar>
        </w:tblPrEx>
        <w:trPr>
          <w:trHeight w:val="42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水位检测报警功能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灭菌器内水位未达到规定水位，低水位报警，自动切断加热电源</w:t>
            </w:r>
          </w:p>
        </w:tc>
      </w:tr>
      <w:tr>
        <w:tblPrEx>
          <w:tblLayout w:type="fixed"/>
          <w:tblCellMar>
            <w:top w:w="0" w:type="dxa"/>
            <w:left w:w="108" w:type="dxa"/>
            <w:bottom w:w="0" w:type="dxa"/>
            <w:right w:w="108" w:type="dxa"/>
          </w:tblCellMar>
        </w:tblPrEx>
        <w:trPr>
          <w:trHeight w:val="585"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温度指示器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配置固定温度传感器，可选配可移动温度传感器；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温度传感器全部为A级精度，显示精确度0.1℃</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温控模式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单温度控制，可选配双温度控制，实现对液体温度精确控制。</w:t>
            </w:r>
          </w:p>
        </w:tc>
      </w:tr>
      <w:tr>
        <w:tblPrEx>
          <w:tblLayout w:type="fixed"/>
          <w:tblCellMar>
            <w:top w:w="0" w:type="dxa"/>
            <w:left w:w="108" w:type="dxa"/>
            <w:bottom w:w="0" w:type="dxa"/>
            <w:right w:w="108" w:type="dxa"/>
          </w:tblCellMar>
        </w:tblPrEx>
        <w:trPr>
          <w:trHeight w:val="75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自校准功能</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拥有一套完善的后台自校准系统，实现压力、温度等系统参数的校准，在不拆分仪器的情况下，使用权限工具可进行现场调节</w:t>
            </w:r>
          </w:p>
        </w:tc>
      </w:tr>
      <w:tr>
        <w:tblPrEx>
          <w:tblLayout w:type="fixed"/>
          <w:tblCellMar>
            <w:top w:w="0" w:type="dxa"/>
            <w:left w:w="108" w:type="dxa"/>
            <w:bottom w:w="0" w:type="dxa"/>
            <w:right w:w="108" w:type="dxa"/>
          </w:tblCellMar>
        </w:tblPrEx>
        <w:trPr>
          <w:trHeight w:val="75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记录方式：</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选配内置微型热敏打印机，在打印机缺纸情况可自动存储六个灭菌流程的数据，当安装打印纸后自动将数据打印出来；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选配带USB接口可选配U盘电子存储，显示屏可以自动存储四十个灭菌流程的数据。</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权限管理：</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多级密码权限管理，只有输入正确密码，才能不同权限，进行参数修改</w:t>
            </w:r>
          </w:p>
        </w:tc>
      </w:tr>
      <w:tr>
        <w:tblPrEx>
          <w:tblLayout w:type="fixed"/>
          <w:tblCellMar>
            <w:top w:w="0" w:type="dxa"/>
            <w:left w:w="108" w:type="dxa"/>
            <w:bottom w:w="0" w:type="dxa"/>
            <w:right w:w="108" w:type="dxa"/>
          </w:tblCellMar>
        </w:tblPrEx>
        <w:trPr>
          <w:trHeight w:val="117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安全保护</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超温自动保护装置：超过设定温度，系统自动切断加热电源；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防干烧保护装置：水位过低时，系统自动切断加热电源；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超压自动泄放装置：超过安全阀开启压力，安全阀开启泄压；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过流保护装置：设备电流过载时，过流保护开关动作，系统自动切断电源；</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1.5</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程序系统</w:t>
            </w:r>
          </w:p>
        </w:tc>
      </w:tr>
      <w:tr>
        <w:tblPrEx>
          <w:tblLayout w:type="fixed"/>
          <w:tblCellMar>
            <w:top w:w="0" w:type="dxa"/>
            <w:left w:w="108" w:type="dxa"/>
            <w:bottom w:w="0" w:type="dxa"/>
            <w:right w:w="108" w:type="dxa"/>
          </w:tblCellMar>
        </w:tblPrEx>
        <w:trPr>
          <w:trHeight w:val="129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程序名称：</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设有实验室程序、自定义程序，共108个程序可供选择和设定。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实验室程序包括固体类、固体废弃物、培养基、液体、琼脂程序共5个；</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自定义程序可储存100个不同参数的程序。</w:t>
            </w:r>
          </w:p>
        </w:tc>
      </w:tr>
      <w:tr>
        <w:tblPrEx>
          <w:tblLayout w:type="fixed"/>
          <w:tblCellMar>
            <w:top w:w="0" w:type="dxa"/>
            <w:left w:w="108" w:type="dxa"/>
            <w:bottom w:w="0" w:type="dxa"/>
            <w:right w:w="108" w:type="dxa"/>
          </w:tblCellMar>
        </w:tblPrEx>
        <w:trPr>
          <w:trHeight w:val="48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适用范围</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可实现对医疗器械、实验室器皿、培养基、非密闭液体或制剂、与血液或体液可能接触的材料的灭菌</w:t>
            </w:r>
          </w:p>
        </w:tc>
      </w:tr>
      <w:tr>
        <w:tblPrEx>
          <w:tblLayout w:type="fixed"/>
          <w:tblCellMar>
            <w:top w:w="0" w:type="dxa"/>
            <w:left w:w="108" w:type="dxa"/>
            <w:bottom w:w="0" w:type="dxa"/>
            <w:right w:w="108" w:type="dxa"/>
          </w:tblCellMar>
        </w:tblPrEx>
        <w:trPr>
          <w:trHeight w:val="261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参数范围</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灭菌温度设定范围：105℃～138℃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溶解温度设定范围：60℃～100℃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灭菌时间可设范围：0～9999分钟</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脉动次数可设范围：1～6次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排汽阀开启温度范围：40℃～134℃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保温温度可设定范围：40℃～134℃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保温时间可设定范围：0～160小时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预约时间可设定范围：0～160小时</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1.6</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整体参数</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装载装置：</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Style w:val="10"/>
                <w:rFonts w:hint="default"/>
              </w:rPr>
              <w:t>304拉伸网底篮筐2个</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腔体尺寸（Φ×L）：</w:t>
            </w:r>
          </w:p>
        </w:tc>
        <w:tc>
          <w:tcPr>
            <w:tcW w:w="1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color w:val="000000"/>
                <w:sz w:val="22"/>
                <w:szCs w:val="22"/>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Style w:val="10"/>
                <w:rFonts w:hint="default"/>
              </w:rPr>
              <w:t>Φ386×695mm</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外形尺寸（L×W×H）：</w:t>
            </w:r>
          </w:p>
        </w:tc>
        <w:tc>
          <w:tcPr>
            <w:tcW w:w="1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color w:val="000000"/>
                <w:sz w:val="22"/>
                <w:szCs w:val="22"/>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610×546×1030mm</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设备重量：</w:t>
            </w:r>
          </w:p>
        </w:tc>
        <w:tc>
          <w:tcPr>
            <w:tcW w:w="1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color w:val="000000"/>
                <w:sz w:val="22"/>
                <w:szCs w:val="22"/>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92kg</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设备电源：</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单相：AC220V，50Hz</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设备功率：</w:t>
            </w:r>
          </w:p>
        </w:tc>
        <w:tc>
          <w:tcPr>
            <w:tcW w:w="1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color w:val="000000"/>
                <w:sz w:val="22"/>
                <w:szCs w:val="22"/>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5.3kVA</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★通过卫生安全评价：</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提供卫生安全评价报告，灭菌效果检测报告，电气安全性能检测报告</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标准配置</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门胶圈  1条</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波纹管  1件</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不锈钢提篮  2个</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可选配置</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不锈钢消毒桶（用于液体类负载灭菌）</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380V供电</w:t>
            </w:r>
          </w:p>
        </w:tc>
      </w:tr>
      <w:tr>
        <w:tblPrEx>
          <w:tblLayout w:type="fixed"/>
          <w:tblCellMar>
            <w:top w:w="0" w:type="dxa"/>
            <w:left w:w="108" w:type="dxa"/>
            <w:bottom w:w="0" w:type="dxa"/>
            <w:right w:w="108" w:type="dxa"/>
          </w:tblCellMar>
        </w:tblPrEx>
        <w:trPr>
          <w:trHeight w:val="402"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745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微型热敏打印机 1台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liZDIzZmRhMTk1NzgwNDUxMzcwMThmNDEwZjliNmIifQ=="/>
  </w:docVars>
  <w:rsids>
    <w:rsidRoot w:val="00782A19"/>
    <w:rsid w:val="007760EF"/>
    <w:rsid w:val="00782A19"/>
    <w:rsid w:val="034E21D1"/>
    <w:rsid w:val="2FF35BC2"/>
    <w:rsid w:val="4F3456B9"/>
    <w:rsid w:val="514D6E46"/>
    <w:rsid w:val="5F1A65C3"/>
    <w:rsid w:val="64FF5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3"/>
    <w:basedOn w:val="1"/>
    <w:next w:val="1"/>
    <w:qFormat/>
    <w:uiPriority w:val="0"/>
    <w:pPr>
      <w:spacing w:line="360" w:lineRule="auto"/>
      <w:ind w:firstLine="420" w:firstLineChars="200"/>
    </w:pPr>
    <w:rPr>
      <w:rFonts w:ascii="Calibri" w:hAnsi="Calibri" w:cs="宋体"/>
      <w:sz w:val="24"/>
    </w:rPr>
  </w:style>
  <w:style w:type="paragraph" w:styleId="3">
    <w:name w:val="Body Text Indent"/>
    <w:basedOn w:val="1"/>
    <w:qFormat/>
    <w:uiPriority w:val="0"/>
    <w:pPr>
      <w:ind w:firstLine="480" w:firstLineChars="200"/>
    </w:pPr>
    <w:rPr>
      <w:rFonts w:ascii="宋体" w:hAnsi="宋体"/>
      <w:sz w:val="24"/>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spacing w:after="0" w:line="360" w:lineRule="auto"/>
      <w:ind w:left="0" w:firstLine="420" w:firstLineChars="200"/>
    </w:pPr>
    <w:rPr>
      <w:rFonts w:eastAsia="仿宋_GB2312"/>
      <w:spacing w:val="15"/>
      <w:kern w:val="10"/>
      <w:sz w:val="24"/>
      <w:szCs w:val="24"/>
    </w:rPr>
  </w:style>
  <w:style w:type="character" w:customStyle="1" w:styleId="9">
    <w:name w:val="font31"/>
    <w:basedOn w:val="8"/>
    <w:uiPriority w:val="0"/>
    <w:rPr>
      <w:rFonts w:hint="eastAsia" w:ascii="宋体" w:hAnsi="宋体" w:eastAsia="宋体" w:cs="宋体"/>
      <w:b/>
      <w:bCs/>
      <w:color w:val="000000"/>
      <w:sz w:val="36"/>
      <w:szCs w:val="36"/>
      <w:u w:val="none"/>
    </w:rPr>
  </w:style>
  <w:style w:type="character" w:customStyle="1" w:styleId="10">
    <w:name w:val="font01"/>
    <w:basedOn w:val="8"/>
    <w:qFormat/>
    <w:uiPriority w:val="0"/>
    <w:rPr>
      <w:rFonts w:hint="eastAsia" w:ascii="宋体" w:hAnsi="宋体" w:eastAsia="宋体" w:cs="宋体"/>
      <w:color w:val="000000"/>
      <w:sz w:val="22"/>
      <w:szCs w:val="22"/>
      <w:u w:val="none"/>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1852</Words>
  <Characters>665</Characters>
  <Lines>5</Lines>
  <Paragraphs>5</Paragraphs>
  <TotalTime>0</TotalTime>
  <ScaleCrop>false</ScaleCrop>
  <LinksUpToDate>false</LinksUpToDate>
  <CharactersWithSpaces>2512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2024-02-19T08:43:00Z</cp:lastPrinted>
  <dcterms:modified xsi:type="dcterms:W3CDTF">2024-02-23T03:41:28Z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9A6502151CE94E75893894B13B61179F_12</vt:lpwstr>
  </property>
</Properties>
</file>