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62490">
      <w:pPr>
        <w:jc w:val="center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特种蛋白分析仪采购需求</w:t>
      </w:r>
    </w:p>
    <w:p w14:paraId="1377947E">
      <w:pPr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697CD696">
      <w:pPr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★项为废标项</w:t>
      </w:r>
      <w:bookmarkStart w:id="0" w:name="_GoBack"/>
      <w:bookmarkEnd w:id="0"/>
    </w:p>
    <w:p w14:paraId="6B8D742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测试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速度</w:t>
      </w:r>
      <w:r>
        <w:rPr>
          <w:rFonts w:hint="eastAsia" w:ascii="仿宋" w:hAnsi="仿宋" w:eastAsia="仿宋" w:cs="仿宋"/>
          <w:sz w:val="24"/>
          <w:szCs w:val="24"/>
        </w:rPr>
        <w:t>：≥200测试/小时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6B46659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检测原理：免疫散射比浊法、分光光度法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62FB0D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★</w:t>
      </w:r>
      <w:r>
        <w:rPr>
          <w:rFonts w:hint="eastAsia" w:ascii="仿宋" w:hAnsi="仿宋" w:eastAsia="仿宋" w:cs="仿宋"/>
          <w:sz w:val="24"/>
          <w:szCs w:val="24"/>
        </w:rPr>
        <w:t>可与市场上常见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的</w:t>
      </w:r>
      <w:r>
        <w:rPr>
          <w:rFonts w:hint="eastAsia" w:ascii="仿宋" w:hAnsi="仿宋" w:eastAsia="仿宋" w:cs="仿宋"/>
          <w:sz w:val="24"/>
          <w:szCs w:val="24"/>
        </w:rPr>
        <w:t>尿液流水线轨道联机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（相关费用由投标人自行承担）。</w:t>
      </w:r>
    </w:p>
    <w:p w14:paraId="6F87BB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试剂位：≥30个，带冷藏功能，自动识别试剂类型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698D55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样本位：≥50个，支持封膜尿液管穿刺取样，自动条码扫描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3760960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反应杯：≥50个，可自动清洗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60136A6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样本种类：尿液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5F64FE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支持</w:t>
      </w:r>
      <w:r>
        <w:rPr>
          <w:rFonts w:hint="eastAsia" w:ascii="仿宋" w:hAnsi="仿宋" w:eastAsia="仿宋" w:cs="仿宋"/>
          <w:sz w:val="24"/>
          <w:szCs w:val="24"/>
        </w:rPr>
        <w:t>中文操作界面，可实时监测仪器运行状态、实时在线远程质控管理等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57B57F8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▲支持肌酐、尿微量白蛋白定量检测，可自动计算和报告尿白蛋白肌酐比值（ACR）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可检测尿总蛋白、尿转铁蛋白、尿免疫球蛋白G、尿α2-巨球蛋白、尿α1-微球蛋白、尿β2-微球蛋白、尿视黄醇结合蛋白、尿Kappa轻链、尿Lambda轻链、尿胱抑素C、中性粒细胞明胶酶相关脂质运载蛋白等尿液特定蛋白项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26F65D6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定标功能：自主多点定标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6946C32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抗原监测：抗原过剩自动监测，高值样本自动稀释重测，支持用户自定义稀释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5CD5E4D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▲</w:t>
      </w:r>
      <w:r>
        <w:rPr>
          <w:rFonts w:hint="eastAsia" w:ascii="仿宋" w:hAnsi="仿宋" w:eastAsia="仿宋" w:cs="仿宋"/>
          <w:bCs/>
          <w:sz w:val="24"/>
          <w:szCs w:val="24"/>
        </w:rPr>
        <w:t>重复性：对同一样品重复测量时变异系数不超过2%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bCs/>
          <w:sz w:val="24"/>
          <w:szCs w:val="24"/>
        </w:rPr>
        <w:t>对同一样品肌酐项目重复测试时变异系数 CV≤5%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。</w:t>
      </w:r>
    </w:p>
    <w:p w14:paraId="04C72D0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准确度：在规定的测量范围内相对误差不超过±5%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bCs/>
          <w:sz w:val="24"/>
          <w:szCs w:val="24"/>
        </w:rPr>
        <w:t>在规定的测量范围内对肌酐项目测试相对偏差应不超过±10%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。</w:t>
      </w:r>
    </w:p>
    <w:p w14:paraId="2017DF3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样品携带污染率不超过 0.5%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。</w:t>
      </w:r>
    </w:p>
    <w:p w14:paraId="687B04F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加样准确度与重复性：加样准确度误差不超过±5%，变异系数不超过2%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。</w:t>
      </w:r>
    </w:p>
    <w:p w14:paraId="070E664B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试剂未开瓶稳定期不低于1年，开瓶后稳定期不低于1个月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。</w:t>
      </w:r>
    </w:p>
    <w:p w14:paraId="21F26DE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▲尿特定蛋白项目在国家卫健委室间质评中有单独的厂家分组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C77F1D9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t>外接RS232、USB接口，支持LIS系统双向连接</w:t>
      </w:r>
      <w:r>
        <w:rPr>
          <w:rFonts w:hint="eastAsia" w:ascii="仿宋" w:hAnsi="仿宋" w:eastAsia="仿宋" w:cs="仿宋"/>
          <w:bCs/>
          <w:sz w:val="24"/>
          <w:szCs w:val="24"/>
          <w:lang w:eastAsia="zh-CN"/>
        </w:rPr>
        <w:t>，无条件接入医院</w:t>
      </w:r>
      <w:r>
        <w:rPr>
          <w:rFonts w:hint="eastAsia" w:ascii="仿宋" w:hAnsi="仿宋" w:eastAsia="仿宋" w:cs="仿宋"/>
          <w:bCs/>
          <w:sz w:val="24"/>
          <w:szCs w:val="24"/>
          <w:lang w:val="en-US" w:eastAsia="zh-CN"/>
        </w:rPr>
        <w:t>LIS等系统。</w:t>
      </w:r>
    </w:p>
    <w:p w14:paraId="501A4BA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▲</w:t>
      </w:r>
      <w:r>
        <w:rPr>
          <w:rFonts w:hint="eastAsia" w:ascii="仿宋" w:hAnsi="仿宋" w:eastAsia="仿宋" w:cs="仿宋"/>
          <w:sz w:val="24"/>
          <w:szCs w:val="24"/>
        </w:rPr>
        <w:t>仪器质保期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</w:rPr>
        <w:t>10年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p w14:paraId="751E2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D8539A"/>
    <w:multiLevelType w:val="multilevel"/>
    <w:tmpl w:val="78D8539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71579"/>
    <w:rsid w:val="24571579"/>
    <w:rsid w:val="531F688C"/>
    <w:rsid w:val="5EAE2963"/>
    <w:rsid w:val="747D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">
    <w:name w:val="Body Text"/>
    <w:basedOn w:val="1"/>
    <w:next w:val="1"/>
    <w:qFormat/>
    <w:uiPriority w:val="0"/>
    <w:pPr>
      <w:spacing w:line="360" w:lineRule="auto"/>
    </w:pPr>
    <w:rPr>
      <w:szCs w:val="20"/>
    </w:rPr>
  </w:style>
  <w:style w:type="paragraph" w:customStyle="1" w:styleId="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850</Words>
  <Characters>940</Characters>
  <Lines>0</Lines>
  <Paragraphs>0</Paragraphs>
  <TotalTime>0</TotalTime>
  <ScaleCrop>false</ScaleCrop>
  <LinksUpToDate>false</LinksUpToDate>
  <CharactersWithSpaces>940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2025-11-21T00:59:00Z</dcterms:created>
  <dc:creator>Administrator</dc:creator>
  <cp:lastModifiedBy>田田胖子</cp:lastModifiedBy>
  <cp:lastPrinted>2025-11-21T05:12:47Z</cp:lastPrinted>
  <dcterms:modified xsi:type="dcterms:W3CDTF">2025-11-21T05:13:38Z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eyJoZGlkIjoiNzIwNzY1N2MyODZhNzIyMzMxNzViYzdjZDY2NzczZDQiLCJ1c2VySWQiOiI2NDYyNDM1NzkifQ==</vt:lpwstr>
  </property>
  <property fmtid="{D5CDD505-2E9C-101B-9397-08002B2CF9AE}" pid="4" name="ICV">
    <vt:lpwstr>0B1DB1233F1F4F3D8971A388A8858AC0_13</vt:lpwstr>
  </property>
</Properties>
</file>