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</w:t>
      </w:r>
      <w:r>
        <w:rPr>
          <w:rFonts w:hint="eastAsia" w:ascii="仿宋" w:hAnsi="仿宋" w:eastAsia="仿宋"/>
          <w:sz w:val="28"/>
          <w:szCs w:val="28"/>
          <w:lang w:eastAsia="zh-CN"/>
        </w:rPr>
        <w:t>件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：</w:t>
      </w: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设备型号参数</w:t>
      </w:r>
    </w:p>
    <w:p>
      <w:pPr>
        <w:rPr>
          <w:rFonts w:ascii="仿宋" w:hAnsi="仿宋" w:eastAsia="仿宋"/>
        </w:rPr>
      </w:pPr>
    </w:p>
    <w:tbl>
      <w:tblPr>
        <w:tblStyle w:val="2"/>
        <w:tblW w:w="911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1411"/>
        <w:gridCol w:w="2694"/>
        <w:gridCol w:w="708"/>
        <w:gridCol w:w="709"/>
        <w:gridCol w:w="2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41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产品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型号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管道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DN40不锈钢管及除脂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</w:rPr>
              <w:t>280</w:t>
            </w: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</w:rPr>
              <w:t>米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DN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40 48mm*4.0mm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1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主管道旁通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5阀主旁路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</w:rPr>
              <w:t>2</w:t>
            </w: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</w:rPr>
              <w:t>套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3套不锈钢阀门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1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二级调压厢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双路含流量器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</w:rPr>
              <w:t>10</w:t>
            </w: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</w:rPr>
              <w:t>台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双路不锈钢调压箱、流量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485通讯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1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辅材</w:t>
            </w: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管道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双阀DN15,M22*1.5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</w:rPr>
              <w:t>27</w:t>
            </w: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</w:rPr>
              <w:t>组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不锈钢球阀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1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穿孔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DN65及套管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</w:rPr>
              <w:t>50</w:t>
            </w: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</w:rPr>
              <w:t>个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一次成型开孔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74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41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管架</w:t>
            </w:r>
          </w:p>
        </w:tc>
        <w:tc>
          <w:tcPr>
            <w:tcW w:w="269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支架及静电等电位、绝缘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</w:rPr>
              <w:t>60</w:t>
            </w: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</w:rPr>
              <w:t>个</w:t>
            </w:r>
          </w:p>
        </w:tc>
        <w:tc>
          <w:tcPr>
            <w:tcW w:w="2850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Cs w:val="21"/>
              </w:rPr>
              <w:t>金属支架、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6.0MM铜导线</w:t>
            </w:r>
          </w:p>
        </w:tc>
      </w:tr>
    </w:tbl>
    <w:p>
      <w:pPr>
        <w:rPr>
          <w:rFonts w:ascii="仿宋" w:hAnsi="仿宋" w:eastAsia="仿宋"/>
        </w:rPr>
      </w:pPr>
    </w:p>
    <w:p>
      <w:pPr>
        <w:spacing w:before="100" w:beforeAutospacing="1" w:line="500" w:lineRule="exact"/>
        <w:rPr>
          <w:rFonts w:ascii="仿宋" w:hAnsi="仿宋" w:eastAsia="仿宋"/>
          <w:kern w:val="0"/>
          <w:sz w:val="28"/>
          <w:szCs w:val="28"/>
        </w:rPr>
      </w:pPr>
      <w:r>
        <w:rPr>
          <w:rFonts w:ascii="仿宋" w:hAnsi="仿宋" w:eastAsia="仿宋"/>
          <w:kern w:val="0"/>
          <w:sz w:val="28"/>
          <w:szCs w:val="28"/>
        </w:rPr>
        <w:t>要求供应商具有下列证书及要求：</w:t>
      </w:r>
    </w:p>
    <w:p>
      <w:pPr>
        <w:spacing w:line="5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1、施工人员具有特种设备安全管理和作业人员证（种类：特种设备焊接作业金属焊接操作（承压焊））；</w:t>
      </w:r>
    </w:p>
    <w:p>
      <w:pPr>
        <w:spacing w:line="5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2、投标人出具管道改造安装示意图具有冗余结构；</w:t>
      </w:r>
    </w:p>
    <w:p>
      <w:pPr>
        <w:spacing w:line="5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3、投标人承诺按医院要求完成新旧管道割接、售后服务响应≤30分钟到场；</w:t>
      </w:r>
    </w:p>
    <w:p>
      <w:pPr>
        <w:spacing w:line="5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4、管道保压试验测试120小时，压力≥2.5MPa、压降≤0.05Mpa为合格；</w:t>
      </w:r>
    </w:p>
    <w:p>
      <w:pPr>
        <w:rPr>
          <w:rFonts w:hint="eastAsia" w:ascii="仿宋" w:hAnsi="仿宋" w:eastAsia="仿宋" w:cs="仿宋"/>
          <w:szCs w:val="21"/>
        </w:rPr>
      </w:pPr>
    </w:p>
    <w:p/>
    <w:sectPr>
      <w:pgSz w:w="12240" w:h="15840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E55B77"/>
    <w:rsid w:val="451C5984"/>
    <w:rsid w:val="5DA92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2022-04-02T15:09:00Z</dcterms:created>
  <dc:creator>Administrator</dc:creator>
  <cp:lastModifiedBy>Administrator</cp:lastModifiedBy>
  <dcterms:modified xsi:type="dcterms:W3CDTF">2026-02-25T03:55:39Z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0A32FB1B900647248D8DC8EE66C2F50D</vt:lpwstr>
  </property>
</Properties>
</file>