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before="240" w:after="240" w:line="360" w:lineRule="auto"/>
        <w:ind w:leftChars="0"/>
        <w:jc w:val="center"/>
        <w:outlineLvl w:val="0"/>
        <w:rPr>
          <w:rFonts w:hint="eastAsia" w:ascii="仿宋_GB2312" w:hAnsi="仿宋_GB2312" w:eastAsia="仿宋_GB2312" w:cs="仿宋_GB2312"/>
          <w:b/>
          <w:color w:val="auto"/>
          <w:sz w:val="40"/>
          <w:szCs w:val="40"/>
          <w:highlight w:val="none"/>
        </w:rPr>
      </w:pPr>
      <w:r>
        <w:rPr>
          <w:rFonts w:hint="eastAsia" w:ascii="仿宋_GB2312" w:hAnsi="仿宋_GB2312" w:eastAsia="仿宋_GB2312" w:cs="仿宋_GB2312"/>
          <w:b/>
          <w:color w:val="auto"/>
          <w:sz w:val="40"/>
          <w:szCs w:val="40"/>
          <w:highlight w:val="none"/>
        </w:rPr>
        <w:t>采购需求</w:t>
      </w:r>
      <w:bookmarkStart w:id="0" w:name="_Hlk40259505"/>
    </w:p>
    <w:bookmarkEnd w:id="0"/>
    <w:p>
      <w:pPr>
        <w:pStyle w:val="4"/>
        <w:widowControl/>
        <w:spacing w:before="0" w:beforeAutospacing="0" w:after="0" w:afterAutospacing="0"/>
        <w:rPr>
          <w:rFonts w:hint="eastAsia" w:ascii="仿宋_GB2312" w:hAnsi="仿宋_GB2312" w:eastAsia="仿宋_GB2312" w:cs="仿宋_GB2312"/>
          <w:b/>
          <w:bCs w:val="0"/>
          <w:color w:val="auto"/>
          <w:sz w:val="28"/>
          <w:szCs w:val="28"/>
          <w:highlight w:val="none"/>
          <w:lang w:val="en-US" w:eastAsia="zh-CN"/>
        </w:rPr>
      </w:pPr>
      <w:r>
        <w:rPr>
          <w:rFonts w:hint="eastAsia" w:ascii="仿宋_GB2312" w:hAnsi="仿宋_GB2312" w:eastAsia="仿宋_GB2312" w:cs="仿宋_GB2312"/>
          <w:b/>
          <w:bCs w:val="0"/>
          <w:color w:val="auto"/>
          <w:sz w:val="28"/>
          <w:szCs w:val="28"/>
          <w:highlight w:val="none"/>
          <w:lang w:val="en-US" w:eastAsia="zh-CN"/>
        </w:rPr>
        <w:t xml:space="preserve">项目概述 </w:t>
      </w:r>
    </w:p>
    <w:p>
      <w:pPr>
        <w:pStyle w:val="4"/>
        <w:widowControl/>
        <w:spacing w:before="0" w:beforeAutospacing="0" w:after="0" w:afterAutospacing="0"/>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1.项目名称：公安县人民医院虎西院区医疗废物清运服务。</w:t>
      </w:r>
    </w:p>
    <w:p>
      <w:pPr>
        <w:pStyle w:val="4"/>
        <w:widowControl/>
        <w:spacing w:before="0" w:beforeAutospacing="0" w:after="0" w:afterAutospacing="0"/>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2.最高限价：13万元。</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b/>
          <w:bCs w:val="0"/>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val="en-US" w:eastAsia="zh-CN"/>
        </w:rPr>
        <w:t>3.合同履行期限：签订合同后一年.</w:t>
      </w:r>
    </w:p>
    <w:p>
      <w:pPr>
        <w:pStyle w:val="4"/>
        <w:widowControl/>
        <w:spacing w:before="0" w:beforeAutospacing="0" w:after="0" w:afterAutospacing="0"/>
        <w:rPr>
          <w:rFonts w:hint="eastAsia" w:ascii="仿宋_GB2312" w:hAnsi="仿宋_GB2312" w:eastAsia="仿宋_GB2312" w:cs="仿宋_GB2312"/>
          <w:b/>
          <w:bCs w:val="0"/>
          <w:color w:val="auto"/>
          <w:sz w:val="28"/>
          <w:szCs w:val="28"/>
          <w:highlight w:val="none"/>
          <w:lang w:val="en-US" w:eastAsia="zh-CN"/>
        </w:rPr>
      </w:pPr>
      <w:r>
        <w:rPr>
          <w:rFonts w:hint="eastAsia" w:ascii="仿宋_GB2312" w:hAnsi="仿宋_GB2312" w:eastAsia="仿宋_GB2312" w:cs="仿宋_GB2312"/>
          <w:b/>
          <w:bCs w:val="0"/>
          <w:color w:val="auto"/>
          <w:sz w:val="28"/>
          <w:szCs w:val="28"/>
          <w:highlight w:val="none"/>
          <w:lang w:val="en-US" w:eastAsia="zh-CN"/>
        </w:rPr>
        <w:t xml:space="preserve">服务清单 </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一、</w:t>
      </w:r>
      <w:r>
        <w:rPr>
          <w:rFonts w:hint="eastAsia" w:ascii="仿宋_GB2312" w:hAnsi="仿宋_GB2312" w:eastAsia="仿宋_GB2312" w:cs="仿宋_GB2312"/>
          <w:color w:val="auto"/>
          <w:sz w:val="28"/>
          <w:szCs w:val="28"/>
        </w:rPr>
        <w:t>负责处置</w:t>
      </w:r>
      <w:r>
        <w:rPr>
          <w:rFonts w:hint="eastAsia" w:ascii="仿宋_GB2312" w:hAnsi="仿宋_GB2312" w:eastAsia="仿宋_GB2312" w:cs="仿宋_GB2312"/>
          <w:color w:val="auto"/>
          <w:sz w:val="28"/>
          <w:szCs w:val="28"/>
          <w:lang w:val="en-US" w:eastAsia="zh-CN"/>
        </w:rPr>
        <w:t>我院</w:t>
      </w:r>
      <w:r>
        <w:rPr>
          <w:rFonts w:hint="eastAsia" w:ascii="仿宋_GB2312" w:hAnsi="仿宋_GB2312" w:eastAsia="仿宋_GB2312" w:cs="仿宋_GB2312"/>
          <w:color w:val="auto"/>
          <w:sz w:val="28"/>
          <w:szCs w:val="28"/>
        </w:rPr>
        <w:t>在经营活动中产生的感染性、损伤性、病理性医疗废物。</w:t>
      </w:r>
      <w:r>
        <w:rPr>
          <w:rFonts w:hint="eastAsia" w:ascii="仿宋_GB2312" w:hAnsi="仿宋_GB2312" w:eastAsia="仿宋_GB2312" w:cs="仿宋_GB2312"/>
          <w:color w:val="auto"/>
          <w:sz w:val="28"/>
          <w:szCs w:val="28"/>
          <w:lang w:val="en-US" w:eastAsia="zh-CN"/>
        </w:rPr>
        <w:t>根据医疗废物管理条例规定48小时内到我院收集转运一次。</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1、感染性废物：携带病原微生物具有引发感染性疾病传播危险的医疗废物。</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①被病人血液、体液、排泄物污染的物品，包括：</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a、棉球、棉签、引流棉条、纱布及其他各种敷料。</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b、使用后的一次性使用卫生用品、一次性使用医疗用品及一次性医疗器械。</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c、废弃的被服；</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d、其他被病人血液、体液、排泄物污染的物品；</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②医疗机构收治的隔离传染病病人或者疑似传染病病人产生的生活垃圾；</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③病原体的培养基、各种废弃的医学标本和菌种、毒种保存液；</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④废弃的血液、血清。</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2、病理性废物：诊疗过程中产生的人体废弃物和医学实验动物尸体等。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①手术及其他诊疗过程中产生的废弃的人体组织、器官等。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②医学实验动物的组织、尸体。</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③病理切片后废弃的人体组织、病理腊块等。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①医用针头、缝合针。</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②各类医用锐器，包括：解剖刀、手术刀、备皮刀、手术锯等。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③载玻片、玻璃试管、玻璃安瓿等。</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二、负责到我院医疗废物暂存场地接收并运输至我方处置场所。</w:t>
      </w:r>
    </w:p>
    <w:p>
      <w:pPr>
        <w:numPr>
          <w:ilvl w:val="0"/>
          <w:numId w:val="0"/>
        </w:numPr>
        <w:tabs>
          <w:tab w:val="left" w:pos="426"/>
        </w:tabs>
        <w:autoSpaceDE w:val="0"/>
        <w:autoSpaceDN w:val="0"/>
        <w:adjustRightInd w:val="0"/>
        <w:snapToGrid w:val="0"/>
        <w:spacing w:line="360" w:lineRule="auto"/>
        <w:jc w:val="left"/>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三、确保在运输我院医疗废物过程中不产生对环境的二次污染，医疗废物处置符合国家相关技术要求。</w:t>
      </w:r>
    </w:p>
    <w:p>
      <w:pPr>
        <w:pStyle w:val="5"/>
        <w:ind w:left="0" w:leftChars="0" w:firstLine="0" w:firstLineChars="0"/>
        <w:rPr>
          <w:rFonts w:hint="eastAsia" w:ascii="仿宋_GB2312" w:hAnsi="仿宋_GB2312" w:eastAsia="仿宋_GB2312" w:cs="仿宋_GB2312"/>
          <w:color w:val="auto"/>
        </w:rPr>
      </w:pPr>
      <w:r>
        <w:rPr>
          <w:rFonts w:hint="eastAsia" w:ascii="仿宋_GB2312" w:hAnsi="仿宋_GB2312" w:eastAsia="仿宋_GB2312" w:cs="仿宋_GB2312"/>
          <w:color w:val="auto"/>
          <w:sz w:val="28"/>
          <w:szCs w:val="28"/>
          <w:lang w:val="en-US" w:eastAsia="zh-CN"/>
        </w:rPr>
        <w:t>四、双方必须执行危险废物转移联单制度，并办理相关手续。双方交接时按规定填写《危险废物转移联单》（医疗废物专用），分别保存。</w:t>
      </w:r>
    </w:p>
    <w:p>
      <w:pPr>
        <w:pStyle w:val="5"/>
        <w:rPr>
          <w:rFonts w:hint="eastAsia" w:ascii="仿宋_GB2312" w:hAnsi="仿宋_GB2312" w:eastAsia="仿宋_GB2312" w:cs="仿宋_GB2312"/>
        </w:rPr>
      </w:pPr>
    </w:p>
    <w:p>
      <w:pPr>
        <w:pStyle w:val="5"/>
        <w:jc w:val="center"/>
        <w:rPr>
          <w:rFonts w:hint="eastAsia" w:ascii="仿宋_GB2312" w:hAnsi="仿宋_GB2312" w:eastAsia="仿宋_GB2312" w:cs="仿宋_GB2312"/>
          <w:b/>
          <w:color w:val="auto"/>
          <w:spacing w:val="0"/>
          <w:kern w:val="2"/>
          <w:sz w:val="36"/>
          <w:szCs w:val="36"/>
          <w:highlight w:val="none"/>
          <w:lang w:val="en-US" w:eastAsia="zh-CN" w:bidi="ar-SA"/>
        </w:rPr>
      </w:pPr>
      <w:r>
        <w:rPr>
          <w:rFonts w:hint="eastAsia" w:ascii="仿宋_GB2312" w:hAnsi="仿宋_GB2312" w:eastAsia="仿宋_GB2312" w:cs="仿宋_GB2312"/>
          <w:b/>
          <w:color w:val="auto"/>
          <w:spacing w:val="0"/>
          <w:kern w:val="2"/>
          <w:sz w:val="36"/>
          <w:szCs w:val="36"/>
          <w:highlight w:val="none"/>
          <w:lang w:val="en-US" w:eastAsia="zh-CN" w:bidi="ar-SA"/>
        </w:rPr>
        <w:t>资格性符合性检查对照表</w:t>
      </w:r>
    </w:p>
    <w:p>
      <w:pPr>
        <w:pStyle w:val="5"/>
        <w:jc w:val="center"/>
        <w:rPr>
          <w:rFonts w:hint="eastAsia" w:ascii="仿宋_GB2312" w:hAnsi="仿宋_GB2312" w:eastAsia="仿宋_GB2312" w:cs="仿宋_GB2312"/>
          <w:b/>
          <w:bCs w:val="0"/>
          <w:color w:val="auto"/>
          <w:highlight w:val="none"/>
          <w:lang w:val="en-US" w:eastAsia="zh-CN"/>
        </w:rPr>
      </w:pPr>
    </w:p>
    <w:tbl>
      <w:tblPr>
        <w:tblStyle w:val="6"/>
        <w:tblW w:w="8206"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666"/>
        <w:gridCol w:w="962"/>
        <w:gridCol w:w="2191"/>
        <w:gridCol w:w="438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1628" w:type="dxa"/>
            <w:gridSpan w:val="2"/>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序号</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检查内容</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检查标准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资</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格</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营业执照</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具备合法有效的营业执照或事业单位法定代表人证书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具有良好的商业信誉和健全的财务会计制度</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240" w:lineRule="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提供2022年年度财务审计报告的扫描件或银行出具的资信证明或专业担保机构对中小型供应商进行资信审查后出具的投标担保函（本年度新成立公司提供投标截止时间前一个月财务状况报告原件的扫描件）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188"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有依法缴纳税收和社会保障金的良好记录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2023年1月至今有任意3个月企业纳税证明（纳税凭证或银行回执扫描件）；2023年1月至今有任意3个月企业为员工缴纳社会保障资金证明等（缴纳凭证或银行回执扫描件或社保部门出具证明）或根据荆政发[2020]12号文件规定提供相关承诺。</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具备履行合同所必需的专业技术能力的证明材料</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spacing w:line="44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eastAsia="zh-CN"/>
              </w:rPr>
              <w:t>提供书面声明或相关证明材料（格式自拟）</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2"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法定代表人或授权代表资格</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有法定代表人资格证明或法定代表人授权委托书</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90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信用记录</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通过“信用中国”网站、“中国政府采购网”等渠道查询的主体信用记录 ，未被列入信用记录失信被执行人、重大税收违法案件当事人名单、政府采购严重违法失信行为记录名单。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rPr>
              <w:t>无重大违法记录的书面声明</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default"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kern w:val="2"/>
                <w:sz w:val="24"/>
                <w:szCs w:val="24"/>
                <w:highlight w:val="none"/>
                <w:lang w:val="en-US" w:eastAsia="zh-CN" w:bidi="ar-SA"/>
              </w:rPr>
              <w:t>提供书面声明（3年内经营活动中没有重大违法记录）</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23"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中小微企业声明函</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提供中小企业声明函</w:t>
            </w:r>
            <w:bookmarkStart w:id="1" w:name="_GoBack"/>
            <w:bookmarkEnd w:id="1"/>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spacing w:before="78" w:line="185" w:lineRule="auto"/>
              <w:ind w:firstLine="9" w:firstLineChars="0"/>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000000"/>
                <w:kern w:val="0"/>
                <w:sz w:val="24"/>
                <w:szCs w:val="24"/>
                <w:lang w:val="en-US" w:eastAsia="zh-CN" w:bidi="ar"/>
              </w:rPr>
              <w:t>特定资格要求</w:t>
            </w:r>
          </w:p>
        </w:tc>
        <w:tc>
          <w:tcPr>
            <w:tcW w:w="4387" w:type="dxa"/>
            <w:tcBorders>
              <w:top w:val="outset" w:color="auto" w:sz="6" w:space="0"/>
              <w:left w:val="outset" w:color="auto" w:sz="6" w:space="0"/>
              <w:bottom w:val="outset" w:color="auto" w:sz="6" w:space="0"/>
              <w:right w:val="outset" w:color="auto" w:sz="6" w:space="0"/>
            </w:tcBorders>
            <w:noWrap w:val="0"/>
            <w:vAlign w:val="bottom"/>
          </w:tcPr>
          <w:p>
            <w:pPr>
              <w:keepNext w:val="0"/>
              <w:keepLines w:val="0"/>
              <w:widowControl/>
              <w:suppressLineNumbers w:val="0"/>
              <w:spacing w:before="35" w:line="220" w:lineRule="auto"/>
              <w:jc w:val="both"/>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pacing w:val="-6"/>
                <w:sz w:val="24"/>
                <w:szCs w:val="24"/>
                <w:lang w:val="en-US" w:eastAsia="zh-CN"/>
              </w:rPr>
              <w:t>供应商在荆州市内具备有效的《危险废物经营许可证》</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spacing w:line="440" w:lineRule="exact"/>
              <w:jc w:val="center"/>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其他</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kern w:val="2"/>
                <w:sz w:val="24"/>
                <w:szCs w:val="24"/>
                <w:highlight w:val="yellow"/>
                <w:lang w:val="en-US" w:eastAsia="zh-CN" w:bidi="ar-SA"/>
              </w:rPr>
            </w:pPr>
            <w:r>
              <w:rPr>
                <w:rFonts w:hint="eastAsia" w:ascii="仿宋_GB2312" w:hAnsi="仿宋_GB2312" w:eastAsia="仿宋_GB2312" w:cs="仿宋_GB2312"/>
                <w:color w:val="auto"/>
                <w:sz w:val="24"/>
                <w:szCs w:val="24"/>
                <w:highlight w:val="none"/>
              </w:rPr>
              <w:t>供应商须对其提供的材料真实性负责，并对此作出承诺，否则做无效文件处理</w:t>
            </w:r>
            <w:r>
              <w:rPr>
                <w:rFonts w:hint="eastAsia" w:ascii="仿宋_GB2312" w:hAnsi="仿宋_GB2312" w:eastAsia="仿宋_GB2312" w:cs="仿宋_GB2312"/>
                <w:color w:val="auto"/>
                <w:sz w:val="24"/>
                <w:szCs w:val="24"/>
                <w:highlight w:val="none"/>
                <w:lang w:eastAsia="zh-CN"/>
              </w:rPr>
              <w:t>（写承诺）</w:t>
            </w:r>
            <w:r>
              <w:rPr>
                <w:rFonts w:hint="eastAsia" w:ascii="仿宋_GB2312" w:hAnsi="仿宋_GB2312" w:eastAsia="仿宋_GB2312" w:cs="仿宋_GB2312"/>
                <w:color w:val="auto"/>
                <w:sz w:val="24"/>
                <w:szCs w:val="24"/>
                <w:highlight w:val="none"/>
              </w:rPr>
              <w:t>。</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2" w:hRule="atLeast"/>
        </w:trPr>
        <w:tc>
          <w:tcPr>
            <w:tcW w:w="666"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w:t>
            </w:r>
          </w:p>
        </w:tc>
        <w:tc>
          <w:tcPr>
            <w:tcW w:w="962" w:type="dxa"/>
            <w:vMerge w:val="restart"/>
            <w:tcBorders>
              <w:top w:val="outset" w:color="auto" w:sz="6" w:space="0"/>
              <w:left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符</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合</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性</w:t>
            </w:r>
          </w:p>
          <w:p>
            <w:pPr>
              <w:jc w:val="center"/>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rPr>
              <w:t>检</w:t>
            </w:r>
          </w:p>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查</w:t>
            </w: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供应商名称</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 xml:space="preserve">供应商名称是否与营业执照、资质证书等一致 </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79"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响应文件签署</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按文件要求在规定区域加盖单位公章和法定代表人签字或印章</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84" w:hRule="atLeast"/>
        </w:trPr>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采购要求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供应商提供的</w:t>
            </w:r>
            <w:r>
              <w:rPr>
                <w:rFonts w:hint="eastAsia" w:ascii="仿宋_GB2312" w:hAnsi="仿宋_GB2312" w:eastAsia="仿宋_GB2312" w:cs="仿宋_GB2312"/>
                <w:color w:val="auto"/>
                <w:sz w:val="24"/>
                <w:szCs w:val="24"/>
                <w:highlight w:val="none"/>
                <w:lang w:eastAsia="zh-CN"/>
              </w:rPr>
              <w:t>服务</w:t>
            </w:r>
            <w:r>
              <w:rPr>
                <w:rFonts w:hint="eastAsia" w:ascii="仿宋_GB2312" w:hAnsi="仿宋_GB2312" w:eastAsia="仿宋_GB2312" w:cs="仿宋_GB2312"/>
                <w:color w:val="auto"/>
                <w:sz w:val="24"/>
                <w:szCs w:val="24"/>
                <w:highlight w:val="none"/>
              </w:rPr>
              <w:t>符合</w:t>
            </w:r>
            <w:r>
              <w:rPr>
                <w:rFonts w:hint="eastAsia" w:ascii="仿宋_GB2312" w:hAnsi="仿宋_GB2312" w:eastAsia="仿宋_GB2312" w:cs="仿宋_GB2312"/>
                <w:color w:val="auto"/>
                <w:sz w:val="24"/>
                <w:szCs w:val="24"/>
                <w:highlight w:val="none"/>
                <w:lang w:eastAsia="zh-CN"/>
              </w:rPr>
              <w:t>“服务清单第一项”</w:t>
            </w:r>
            <w:r>
              <w:rPr>
                <w:rFonts w:hint="eastAsia" w:ascii="仿宋_GB2312" w:hAnsi="仿宋_GB2312" w:eastAsia="仿宋_GB2312" w:cs="仿宋_GB2312"/>
                <w:color w:val="auto"/>
                <w:sz w:val="24"/>
                <w:szCs w:val="24"/>
                <w:highlight w:val="none"/>
              </w:rPr>
              <w:t>的要求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报价是否有效</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只有一个有效报价且未超过预算价</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pacing w:val="-2"/>
                <w:sz w:val="24"/>
                <w:szCs w:val="24"/>
                <w:lang w:eastAsia="zh-CN"/>
              </w:rPr>
              <w:t>合同履行期限</w:t>
            </w:r>
            <w:r>
              <w:rPr>
                <w:rFonts w:hint="eastAsia" w:ascii="仿宋_GB2312" w:hAnsi="仿宋_GB2312" w:eastAsia="仿宋_GB2312" w:cs="仿宋_GB2312"/>
                <w:color w:val="auto"/>
                <w:spacing w:val="-2"/>
                <w:sz w:val="24"/>
                <w:szCs w:val="24"/>
              </w:rPr>
              <w:t>、</w:t>
            </w:r>
            <w:r>
              <w:rPr>
                <w:rFonts w:hint="eastAsia" w:ascii="仿宋_GB2312" w:hAnsi="仿宋_GB2312" w:eastAsia="仿宋_GB2312" w:cs="仿宋_GB2312"/>
                <w:color w:val="auto"/>
                <w:spacing w:val="-3"/>
                <w:sz w:val="24"/>
                <w:szCs w:val="24"/>
              </w:rPr>
              <w:t>付款方式</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履行期限为签订合同后一年</w:t>
            </w:r>
          </w:p>
          <w:p>
            <w:pPr>
              <w:jc w:val="left"/>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付款方式为服务期满后一次性付清</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c>
          <w:tcPr>
            <w:tcW w:w="666"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962" w:type="dxa"/>
            <w:vMerge w:val="continue"/>
            <w:tcBorders>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p>
        </w:tc>
        <w:tc>
          <w:tcPr>
            <w:tcW w:w="219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其它要求</w:t>
            </w:r>
          </w:p>
        </w:tc>
        <w:tc>
          <w:tcPr>
            <w:tcW w:w="4387" w:type="dxa"/>
            <w:tcBorders>
              <w:top w:val="outset" w:color="auto" w:sz="6" w:space="0"/>
              <w:left w:val="outset" w:color="auto" w:sz="6" w:space="0"/>
              <w:bottom w:val="outset" w:color="auto" w:sz="6" w:space="0"/>
              <w:right w:val="outset" w:color="auto" w:sz="6" w:space="0"/>
            </w:tcBorders>
            <w:noWrap w:val="0"/>
            <w:vAlign w:val="center"/>
          </w:tcPr>
          <w:p>
            <w:pPr>
              <w:jc w:val="lef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符合法律法规和文件规定的其它实质性要求</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5869F5"/>
    <w:rsid w:val="055575B3"/>
    <w:rsid w:val="6F586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_Style 3"/>
    <w:basedOn w:val="1"/>
    <w:next w:val="1"/>
    <w:qFormat/>
    <w:uiPriority w:val="0"/>
    <w:pPr>
      <w:spacing w:line="360" w:lineRule="auto"/>
      <w:ind w:firstLine="420" w:firstLineChars="200"/>
    </w:pPr>
    <w:rPr>
      <w:rFonts w:ascii="Calibri" w:hAnsi="Calibri" w:cs="宋体"/>
      <w:sz w:val="24"/>
    </w:rPr>
  </w:style>
  <w:style w:type="paragraph" w:styleId="3">
    <w:name w:val="Body Text Indent"/>
    <w:basedOn w:val="1"/>
    <w:qFormat/>
    <w:uiPriority w:val="0"/>
    <w:pPr>
      <w:ind w:firstLine="480" w:firstLineChars="200"/>
    </w:pPr>
    <w:rPr>
      <w:rFonts w:ascii="宋体" w:hAnsi="宋体"/>
      <w:sz w:val="24"/>
    </w:r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3"/>
    <w:unhideWhenUsed/>
    <w:qFormat/>
    <w:uiPriority w:val="99"/>
    <w:pPr>
      <w:spacing w:after="0" w:line="360" w:lineRule="auto"/>
      <w:ind w:left="0" w:firstLine="420" w:firstLineChars="200"/>
    </w:pPr>
    <w:rPr>
      <w:rFonts w:eastAsia="仿宋_GB2312"/>
      <w:spacing w:val="15"/>
      <w:kern w:val="1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2023-11-30T07:54:00Z</dcterms:created>
  <dc:creator>Ai1399690052</dc:creator>
  <cp:lastModifiedBy>Ai1399690052</cp:lastModifiedBy>
  <dcterms:modified xsi:type="dcterms:W3CDTF">2023-11-30T07:59:40Z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